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069C3" w14:textId="6963B81C" w:rsidR="0006257D" w:rsidRDefault="001A43F5" w:rsidP="0006257D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1A43F5">
        <w:rPr>
          <w:rFonts w:ascii="Times New Roman" w:eastAsia="Times New Roman" w:hAnsi="Times New Roman" w:cs="Times New Roman"/>
          <w:sz w:val="24"/>
          <w:szCs w:val="24"/>
        </w:rPr>
        <w:t xml:space="preserve">Schrader, Dorothy V. “The Newton-Leibniz Controversy Concerning the Discovery of the Calculus.” The Mathematics Teacher, vol. 55, no. 5, 1962, pp. 385–96, </w:t>
      </w:r>
      <w:hyperlink r:id="rId6" w:history="1">
        <w:r w:rsidR="000A369E" w:rsidRPr="007656C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http://www.jstor.org/stable/27956626</w:t>
        </w:r>
      </w:hyperlink>
      <w:r w:rsidRPr="001A43F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EFBB0E2" w14:textId="09DA5B4E" w:rsidR="00200ACF" w:rsidRDefault="00200ACF" w:rsidP="0006257D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This</w:t>
      </w:r>
      <w:r w:rsidR="007F2543">
        <w:rPr>
          <w:rFonts w:ascii="Times New Roman" w:eastAsia="Times New Roman" w:hAnsi="Times New Roman" w:cs="Times New Roman"/>
          <w:sz w:val="24"/>
          <w:szCs w:val="24"/>
        </w:rPr>
        <w:t xml:space="preserve"> source is a</w:t>
      </w:r>
      <w:r w:rsidR="003056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4719">
        <w:rPr>
          <w:rFonts w:ascii="Times New Roman" w:eastAsia="Times New Roman" w:hAnsi="Times New Roman" w:cs="Times New Roman"/>
          <w:sz w:val="24"/>
          <w:szCs w:val="24"/>
        </w:rPr>
        <w:t xml:space="preserve">detailed </w:t>
      </w:r>
      <w:r w:rsidR="007F2543">
        <w:rPr>
          <w:rFonts w:ascii="Times New Roman" w:eastAsia="Times New Roman" w:hAnsi="Times New Roman" w:cs="Times New Roman"/>
          <w:sz w:val="24"/>
          <w:szCs w:val="24"/>
        </w:rPr>
        <w:t>telling of the events</w:t>
      </w:r>
      <w:r w:rsidR="009A4719">
        <w:rPr>
          <w:rFonts w:ascii="Times New Roman" w:eastAsia="Times New Roman" w:hAnsi="Times New Roman" w:cs="Times New Roman"/>
          <w:sz w:val="24"/>
          <w:szCs w:val="24"/>
        </w:rPr>
        <w:t xml:space="preserve"> concerning the controversy between Newton and Leibniz</w:t>
      </w:r>
      <w:r w:rsidR="00DF1E4C">
        <w:rPr>
          <w:rFonts w:ascii="Times New Roman" w:eastAsia="Times New Roman" w:hAnsi="Times New Roman" w:cs="Times New Roman"/>
          <w:sz w:val="24"/>
          <w:szCs w:val="24"/>
        </w:rPr>
        <w:t xml:space="preserve">. It begins by </w:t>
      </w:r>
      <w:r w:rsidR="00CA7600">
        <w:rPr>
          <w:rFonts w:ascii="Times New Roman" w:eastAsia="Times New Roman" w:hAnsi="Times New Roman" w:cs="Times New Roman"/>
          <w:sz w:val="24"/>
          <w:szCs w:val="24"/>
        </w:rPr>
        <w:t xml:space="preserve">discussing the mathematical climate of the seventeenth century in which </w:t>
      </w:r>
      <w:r w:rsidR="00DF0E17">
        <w:rPr>
          <w:rFonts w:ascii="Times New Roman" w:eastAsia="Times New Roman" w:hAnsi="Times New Roman" w:cs="Times New Roman"/>
          <w:sz w:val="24"/>
          <w:szCs w:val="24"/>
        </w:rPr>
        <w:t>infinite and infinitesimal math had begun to crop up</w:t>
      </w:r>
      <w:r w:rsidR="00E7193F">
        <w:rPr>
          <w:rFonts w:ascii="Times New Roman" w:eastAsia="Times New Roman" w:hAnsi="Times New Roman" w:cs="Times New Roman"/>
          <w:sz w:val="24"/>
          <w:szCs w:val="24"/>
        </w:rPr>
        <w:t xml:space="preserve"> which created the conditions for the</w:t>
      </w:r>
      <w:r w:rsidR="009B43F2">
        <w:rPr>
          <w:rFonts w:ascii="Times New Roman" w:eastAsia="Times New Roman" w:hAnsi="Times New Roman" w:cs="Times New Roman"/>
          <w:sz w:val="24"/>
          <w:szCs w:val="24"/>
        </w:rPr>
        <w:t xml:space="preserve"> discovery of calculus. </w:t>
      </w:r>
      <w:r w:rsidR="00CB5241">
        <w:rPr>
          <w:rFonts w:ascii="Times New Roman" w:eastAsia="Times New Roman" w:hAnsi="Times New Roman" w:cs="Times New Roman"/>
          <w:sz w:val="24"/>
          <w:szCs w:val="24"/>
        </w:rPr>
        <w:t>The source goes on to quickly explain Newton’s method, which he called the method of Fluxions, and then Leibniz’s method</w:t>
      </w:r>
      <w:r w:rsidR="00104901">
        <w:rPr>
          <w:rFonts w:ascii="Times New Roman" w:eastAsia="Times New Roman" w:hAnsi="Times New Roman" w:cs="Times New Roman"/>
          <w:sz w:val="24"/>
          <w:szCs w:val="24"/>
        </w:rPr>
        <w:t xml:space="preserve"> which he called differentials</w:t>
      </w:r>
      <w:r w:rsidR="00CB524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04901">
        <w:rPr>
          <w:rFonts w:ascii="Times New Roman" w:eastAsia="Times New Roman" w:hAnsi="Times New Roman" w:cs="Times New Roman"/>
          <w:sz w:val="24"/>
          <w:szCs w:val="24"/>
        </w:rPr>
        <w:t xml:space="preserve">The next section </w:t>
      </w:r>
      <w:r w:rsidR="007D5C95">
        <w:rPr>
          <w:rFonts w:ascii="Times New Roman" w:eastAsia="Times New Roman" w:hAnsi="Times New Roman" w:cs="Times New Roman"/>
          <w:sz w:val="24"/>
          <w:szCs w:val="24"/>
        </w:rPr>
        <w:t>outlines the</w:t>
      </w:r>
      <w:r w:rsidR="005A413D">
        <w:rPr>
          <w:rFonts w:ascii="Times New Roman" w:eastAsia="Times New Roman" w:hAnsi="Times New Roman" w:cs="Times New Roman"/>
          <w:sz w:val="24"/>
          <w:szCs w:val="24"/>
        </w:rPr>
        <w:t xml:space="preserve"> timeline of the controversy and why it came about. It also presents the arguments that both sides made. It finishes by talking about the modern perception of the conflict</w:t>
      </w:r>
      <w:r w:rsidR="00236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03CE">
        <w:rPr>
          <w:rFonts w:ascii="Times New Roman" w:eastAsia="Times New Roman" w:hAnsi="Times New Roman" w:cs="Times New Roman"/>
          <w:sz w:val="24"/>
          <w:szCs w:val="24"/>
        </w:rPr>
        <w:t xml:space="preserve">and the effects that the conflict had </w:t>
      </w:r>
      <w:r w:rsidR="008073FE">
        <w:rPr>
          <w:rFonts w:ascii="Times New Roman" w:eastAsia="Times New Roman" w:hAnsi="Times New Roman" w:cs="Times New Roman"/>
          <w:sz w:val="24"/>
          <w:szCs w:val="24"/>
        </w:rPr>
        <w:t>on the mathematics community for centuries.</w:t>
      </w:r>
      <w:r w:rsidR="005A41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1FE189" w14:textId="0C77CA3A" w:rsidR="00F34051" w:rsidRDefault="0023602A" w:rsidP="00112745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25745">
        <w:rPr>
          <w:rFonts w:ascii="Times New Roman" w:eastAsia="Times New Roman" w:hAnsi="Times New Roman" w:cs="Times New Roman"/>
          <w:sz w:val="24"/>
          <w:szCs w:val="24"/>
        </w:rPr>
        <w:t xml:space="preserve">This article gives me a great idea of the shape of the conflict and </w:t>
      </w:r>
      <w:r w:rsidR="00F34051">
        <w:rPr>
          <w:rFonts w:ascii="Times New Roman" w:eastAsia="Times New Roman" w:hAnsi="Times New Roman" w:cs="Times New Roman"/>
          <w:sz w:val="24"/>
          <w:szCs w:val="24"/>
        </w:rPr>
        <w:t>its</w:t>
      </w:r>
      <w:r w:rsidR="00C06FC9">
        <w:rPr>
          <w:rFonts w:ascii="Times New Roman" w:eastAsia="Times New Roman" w:hAnsi="Times New Roman" w:cs="Times New Roman"/>
          <w:sz w:val="24"/>
          <w:szCs w:val="24"/>
        </w:rPr>
        <w:t xml:space="preserve"> causes. It also </w:t>
      </w:r>
      <w:r w:rsidR="003737AB">
        <w:rPr>
          <w:rFonts w:ascii="Times New Roman" w:eastAsia="Times New Roman" w:hAnsi="Times New Roman" w:cs="Times New Roman"/>
          <w:sz w:val="24"/>
          <w:szCs w:val="24"/>
        </w:rPr>
        <w:t xml:space="preserve">includes some information about </w:t>
      </w:r>
      <w:r w:rsidR="00F3405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3737AB">
        <w:rPr>
          <w:rFonts w:ascii="Times New Roman" w:eastAsia="Times New Roman" w:hAnsi="Times New Roman" w:cs="Times New Roman"/>
          <w:sz w:val="24"/>
          <w:szCs w:val="24"/>
        </w:rPr>
        <w:t xml:space="preserve">cultural contexts of the time. </w:t>
      </w:r>
      <w:r w:rsidR="00054677">
        <w:rPr>
          <w:rFonts w:ascii="Times New Roman" w:eastAsia="Times New Roman" w:hAnsi="Times New Roman" w:cs="Times New Roman"/>
          <w:sz w:val="24"/>
          <w:szCs w:val="24"/>
        </w:rPr>
        <w:t>Newton’s method of fluxions is also described which may be useful</w:t>
      </w:r>
      <w:r w:rsidR="00E46D8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FBD691D" w14:textId="4AFF3016" w:rsidR="000A369E" w:rsidRDefault="00386AA7" w:rsidP="0006257D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386AA7">
        <w:rPr>
          <w:rFonts w:ascii="Times New Roman" w:eastAsia="Times New Roman" w:hAnsi="Times New Roman" w:cs="Times New Roman"/>
          <w:sz w:val="24"/>
          <w:szCs w:val="24"/>
        </w:rPr>
        <w:t xml:space="preserve">Alexanderson, Gerald, and Leonard Klosinski. “About the Cover: The Newton–Leibniz Controversy.” Bulletin of the American Mathematical Society, vol. 53, no. 2, Apr. 2016, pp. 295–99. www.ams.org, </w:t>
      </w:r>
      <w:hyperlink r:id="rId7" w:history="1">
        <w:r w:rsidRPr="007656C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https://doi.org/10.1090/bull/1526</w:t>
        </w:r>
      </w:hyperlink>
      <w:r w:rsidRPr="00386AA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929980" w14:textId="1D25F504" w:rsidR="00C771B5" w:rsidRDefault="00C771B5" w:rsidP="009C2865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50329">
        <w:rPr>
          <w:rFonts w:ascii="Times New Roman" w:eastAsia="Times New Roman" w:hAnsi="Times New Roman" w:cs="Times New Roman"/>
          <w:sz w:val="24"/>
          <w:szCs w:val="24"/>
        </w:rPr>
        <w:t xml:space="preserve">This source begins by discussing reasons that it may be uncertain if Leibniz copied Newton’s work or if he did not. </w:t>
      </w:r>
      <w:r w:rsidR="00475846">
        <w:rPr>
          <w:rFonts w:ascii="Times New Roman" w:eastAsia="Times New Roman" w:hAnsi="Times New Roman" w:cs="Times New Roman"/>
          <w:sz w:val="24"/>
          <w:szCs w:val="24"/>
        </w:rPr>
        <w:t xml:space="preserve">Then it </w:t>
      </w:r>
      <w:r w:rsidR="00B95FB9">
        <w:rPr>
          <w:rFonts w:ascii="Times New Roman" w:eastAsia="Times New Roman" w:hAnsi="Times New Roman" w:cs="Times New Roman"/>
          <w:sz w:val="24"/>
          <w:szCs w:val="24"/>
        </w:rPr>
        <w:t xml:space="preserve">explains an anagram that </w:t>
      </w:r>
      <w:r w:rsidR="00CA572F">
        <w:rPr>
          <w:rFonts w:ascii="Times New Roman" w:eastAsia="Times New Roman" w:hAnsi="Times New Roman" w:cs="Times New Roman"/>
          <w:sz w:val="24"/>
          <w:szCs w:val="24"/>
        </w:rPr>
        <w:t xml:space="preserve">Newton sent to Leibniz when </w:t>
      </w:r>
      <w:r w:rsidR="002F3B25">
        <w:rPr>
          <w:rFonts w:ascii="Times New Roman" w:eastAsia="Times New Roman" w:hAnsi="Times New Roman" w:cs="Times New Roman"/>
          <w:sz w:val="24"/>
          <w:szCs w:val="24"/>
        </w:rPr>
        <w:t xml:space="preserve">asked about his methods for </w:t>
      </w:r>
      <w:r w:rsidR="00F22F7F">
        <w:rPr>
          <w:rFonts w:ascii="Times New Roman" w:eastAsia="Times New Roman" w:hAnsi="Times New Roman" w:cs="Times New Roman"/>
          <w:sz w:val="24"/>
          <w:szCs w:val="24"/>
        </w:rPr>
        <w:t>what is now known as integration.</w:t>
      </w:r>
      <w:r w:rsidR="008304D6">
        <w:rPr>
          <w:rFonts w:ascii="Times New Roman" w:eastAsia="Times New Roman" w:hAnsi="Times New Roman" w:cs="Times New Roman"/>
          <w:sz w:val="24"/>
          <w:szCs w:val="24"/>
        </w:rPr>
        <w:t xml:space="preserve"> Which was not of use to Leibniz. </w:t>
      </w:r>
      <w:r w:rsidR="0014187D">
        <w:rPr>
          <w:rFonts w:ascii="Times New Roman" w:eastAsia="Times New Roman" w:hAnsi="Times New Roman" w:cs="Times New Roman"/>
          <w:sz w:val="24"/>
          <w:szCs w:val="24"/>
        </w:rPr>
        <w:t xml:space="preserve">The paper next says that </w:t>
      </w:r>
      <w:r w:rsidR="002B68AB">
        <w:rPr>
          <w:rFonts w:ascii="Times New Roman" w:eastAsia="Times New Roman" w:hAnsi="Times New Roman" w:cs="Times New Roman"/>
          <w:sz w:val="24"/>
          <w:szCs w:val="24"/>
        </w:rPr>
        <w:t>Leibniz published his discovery of calculus and was renowned for 15 years as the man who made the discovery.</w:t>
      </w:r>
      <w:r w:rsidR="00D32F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31FB">
        <w:rPr>
          <w:rFonts w:ascii="Times New Roman" w:eastAsia="Times New Roman" w:hAnsi="Times New Roman" w:cs="Times New Roman"/>
          <w:sz w:val="24"/>
          <w:szCs w:val="24"/>
        </w:rPr>
        <w:t xml:space="preserve">After those years a </w:t>
      </w:r>
      <w:r w:rsidR="009C2865">
        <w:rPr>
          <w:rFonts w:ascii="Times New Roman" w:eastAsia="Times New Roman" w:hAnsi="Times New Roman" w:cs="Times New Roman"/>
          <w:sz w:val="24"/>
          <w:szCs w:val="24"/>
        </w:rPr>
        <w:t xml:space="preserve">man named </w:t>
      </w:r>
      <w:r w:rsidR="009C2865" w:rsidRPr="009C2865">
        <w:rPr>
          <w:rFonts w:ascii="Times New Roman" w:eastAsia="Times New Roman" w:hAnsi="Times New Roman" w:cs="Times New Roman"/>
          <w:sz w:val="24"/>
          <w:szCs w:val="24"/>
        </w:rPr>
        <w:t>Fatio</w:t>
      </w:r>
      <w:r w:rsidR="009C28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2865" w:rsidRPr="009C2865">
        <w:rPr>
          <w:rFonts w:ascii="Times New Roman" w:eastAsia="Times New Roman" w:hAnsi="Times New Roman" w:cs="Times New Roman"/>
          <w:sz w:val="24"/>
          <w:szCs w:val="24"/>
        </w:rPr>
        <w:t>de Duillier</w:t>
      </w:r>
      <w:r w:rsidR="005067A5">
        <w:rPr>
          <w:rFonts w:ascii="Times New Roman" w:eastAsia="Times New Roman" w:hAnsi="Times New Roman" w:cs="Times New Roman"/>
          <w:sz w:val="24"/>
          <w:szCs w:val="24"/>
        </w:rPr>
        <w:t xml:space="preserve"> accused </w:t>
      </w:r>
      <w:r w:rsidR="004F3BF8">
        <w:rPr>
          <w:rFonts w:ascii="Times New Roman" w:eastAsia="Times New Roman" w:hAnsi="Times New Roman" w:cs="Times New Roman"/>
          <w:sz w:val="24"/>
          <w:szCs w:val="24"/>
        </w:rPr>
        <w:t xml:space="preserve">Leibniz of plagiarizing Newton, which kicked off the controversy. </w:t>
      </w:r>
      <w:r w:rsidR="00F2425A">
        <w:rPr>
          <w:rFonts w:ascii="Times New Roman" w:eastAsia="Times New Roman" w:hAnsi="Times New Roman" w:cs="Times New Roman"/>
          <w:sz w:val="24"/>
          <w:szCs w:val="24"/>
        </w:rPr>
        <w:t>The author next describes the controversy</w:t>
      </w:r>
      <w:r w:rsidR="00FD094D">
        <w:rPr>
          <w:rFonts w:ascii="Times New Roman" w:eastAsia="Times New Roman" w:hAnsi="Times New Roman" w:cs="Times New Roman"/>
          <w:sz w:val="24"/>
          <w:szCs w:val="24"/>
        </w:rPr>
        <w:t xml:space="preserve">, and then the differences between the notion of Newton and Leibniz, in which Leibniz has the upper hand. </w:t>
      </w:r>
      <w:r w:rsidR="000E741C">
        <w:rPr>
          <w:rFonts w:ascii="Times New Roman" w:eastAsia="Times New Roman" w:hAnsi="Times New Roman" w:cs="Times New Roman"/>
          <w:sz w:val="24"/>
          <w:szCs w:val="24"/>
        </w:rPr>
        <w:t xml:space="preserve">The author suggests that this is a reason that </w:t>
      </w:r>
      <w:r w:rsidR="00AC6905">
        <w:rPr>
          <w:rFonts w:ascii="Times New Roman" w:eastAsia="Times New Roman" w:hAnsi="Times New Roman" w:cs="Times New Roman"/>
          <w:sz w:val="24"/>
          <w:szCs w:val="24"/>
        </w:rPr>
        <w:t xml:space="preserve">Leibniz came out on top. </w:t>
      </w:r>
    </w:p>
    <w:p w14:paraId="21EAE1F3" w14:textId="5378F496" w:rsidR="00347031" w:rsidRDefault="00E73358" w:rsidP="002A683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This </w:t>
      </w:r>
      <w:r w:rsidR="00164856">
        <w:rPr>
          <w:rFonts w:ascii="Times New Roman" w:eastAsia="Times New Roman" w:hAnsi="Times New Roman" w:cs="Times New Roman"/>
          <w:sz w:val="24"/>
          <w:szCs w:val="24"/>
        </w:rPr>
        <w:t xml:space="preserve">gives me another account of the </w:t>
      </w:r>
      <w:r w:rsidR="00CD3A10">
        <w:rPr>
          <w:rFonts w:ascii="Times New Roman" w:eastAsia="Times New Roman" w:hAnsi="Times New Roman" w:cs="Times New Roman"/>
          <w:sz w:val="24"/>
          <w:szCs w:val="24"/>
        </w:rPr>
        <w:t>controversy to draw from</w:t>
      </w:r>
      <w:r w:rsidR="000C3B4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996250E" w14:textId="236CDAC4" w:rsidR="00925117" w:rsidRDefault="00E16463" w:rsidP="00BA6583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E16463">
        <w:rPr>
          <w:rFonts w:ascii="Times New Roman" w:eastAsia="Times New Roman" w:hAnsi="Times New Roman" w:cs="Times New Roman"/>
          <w:sz w:val="24"/>
          <w:szCs w:val="24"/>
        </w:rPr>
        <w:t xml:space="preserve">Bressoud, David. “SA: Calculus Before Newton and Leibniz.” AP Central, 10 July 2006, </w:t>
      </w:r>
      <w:hyperlink r:id="rId8" w:history="1">
        <w:r w:rsidR="008E4480" w:rsidRPr="00466CA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https://apcentral.collegeboard.org/courses/resources/calculus-before-newton-and-leibniz</w:t>
        </w:r>
      </w:hyperlink>
      <w:r w:rsidRPr="00E16463">
        <w:rPr>
          <w:rFonts w:ascii="Times New Roman" w:eastAsia="Times New Roman" w:hAnsi="Times New Roman" w:cs="Times New Roman"/>
          <w:sz w:val="24"/>
          <w:szCs w:val="24"/>
        </w:rPr>
        <w:t>.</w:t>
      </w:r>
      <w:r w:rsidR="00925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ED7D7C" w14:textId="5857504A" w:rsidR="00E11580" w:rsidRDefault="00410C06" w:rsidP="00E1158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This source talks about Archimedes and </w:t>
      </w:r>
      <w:r w:rsidR="00D10E0B" w:rsidRPr="00D10E0B">
        <w:rPr>
          <w:rFonts w:ascii="Times New Roman" w:eastAsia="Times New Roman" w:hAnsi="Times New Roman" w:cs="Times New Roman"/>
          <w:sz w:val="24"/>
          <w:szCs w:val="24"/>
        </w:rPr>
        <w:t>ibn al-Haytham</w:t>
      </w:r>
      <w:r w:rsidR="00D10E0B">
        <w:rPr>
          <w:rFonts w:ascii="Times New Roman" w:eastAsia="Times New Roman" w:hAnsi="Times New Roman" w:cs="Times New Roman"/>
          <w:sz w:val="24"/>
          <w:szCs w:val="24"/>
        </w:rPr>
        <w:t xml:space="preserve">’s methods for evaluating areas and volumes. </w:t>
      </w:r>
      <w:r w:rsidR="00685A49">
        <w:rPr>
          <w:rFonts w:ascii="Times New Roman" w:eastAsia="Times New Roman" w:hAnsi="Times New Roman" w:cs="Times New Roman"/>
          <w:sz w:val="24"/>
          <w:szCs w:val="24"/>
        </w:rPr>
        <w:t>Next</w:t>
      </w:r>
      <w:r w:rsidR="00DD4B79">
        <w:rPr>
          <w:rFonts w:ascii="Times New Roman" w:eastAsia="Times New Roman" w:hAnsi="Times New Roman" w:cs="Times New Roman"/>
          <w:sz w:val="24"/>
          <w:szCs w:val="24"/>
        </w:rPr>
        <w:t>,</w:t>
      </w:r>
      <w:r w:rsidR="00685A49">
        <w:rPr>
          <w:rFonts w:ascii="Times New Roman" w:eastAsia="Times New Roman" w:hAnsi="Times New Roman" w:cs="Times New Roman"/>
          <w:sz w:val="24"/>
          <w:szCs w:val="24"/>
        </w:rPr>
        <w:t xml:space="preserve"> it talks about </w:t>
      </w:r>
      <w:r w:rsidR="00DD4B79">
        <w:rPr>
          <w:rFonts w:ascii="Times New Roman" w:eastAsia="Times New Roman" w:hAnsi="Times New Roman" w:cs="Times New Roman"/>
          <w:sz w:val="24"/>
          <w:szCs w:val="24"/>
        </w:rPr>
        <w:t xml:space="preserve">the invention of </w:t>
      </w:r>
      <w:r w:rsidR="00863F6A">
        <w:rPr>
          <w:rFonts w:ascii="Times New Roman" w:eastAsia="Times New Roman" w:hAnsi="Times New Roman" w:cs="Times New Roman"/>
          <w:sz w:val="24"/>
          <w:szCs w:val="24"/>
        </w:rPr>
        <w:t xml:space="preserve">polynomials and formulas for sums of powers. It also says </w:t>
      </w:r>
      <w:r w:rsidR="00C868DB">
        <w:rPr>
          <w:rFonts w:ascii="Times New Roman" w:eastAsia="Times New Roman" w:hAnsi="Times New Roman" w:cs="Times New Roman"/>
          <w:sz w:val="24"/>
          <w:szCs w:val="24"/>
        </w:rPr>
        <w:t>that Pascal</w:t>
      </w:r>
      <w:r w:rsidR="001834E2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C868DB">
        <w:rPr>
          <w:rFonts w:ascii="Times New Roman" w:eastAsia="Times New Roman" w:hAnsi="Times New Roman" w:cs="Times New Roman"/>
          <w:sz w:val="24"/>
          <w:szCs w:val="24"/>
        </w:rPr>
        <w:t xml:space="preserve">s triangle was invented by </w:t>
      </w:r>
      <w:r w:rsidR="00E11580" w:rsidRPr="00E11580">
        <w:rPr>
          <w:rFonts w:ascii="Times New Roman" w:eastAsia="Times New Roman" w:hAnsi="Times New Roman" w:cs="Times New Roman"/>
          <w:sz w:val="24"/>
          <w:szCs w:val="24"/>
        </w:rPr>
        <w:t>Abu Bakr al-Karaji in Baghdad and Jia Xian</w:t>
      </w:r>
      <w:r w:rsidR="00E11580">
        <w:rPr>
          <w:rFonts w:ascii="Times New Roman" w:eastAsia="Times New Roman" w:hAnsi="Times New Roman" w:cs="Times New Roman"/>
          <w:sz w:val="24"/>
          <w:szCs w:val="24"/>
        </w:rPr>
        <w:t xml:space="preserve"> in China.</w:t>
      </w:r>
    </w:p>
    <w:p w14:paraId="48641480" w14:textId="2A8535B7" w:rsidR="00E11580" w:rsidRDefault="00E11580" w:rsidP="00E1158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This source is helpful to describe the concepts in a simpler and more succinct way.</w:t>
      </w:r>
    </w:p>
    <w:p w14:paraId="629F1FDC" w14:textId="77777777" w:rsidR="003E04BD" w:rsidRDefault="003E04BD" w:rsidP="003E04BD">
      <w:pPr>
        <w:spacing w:line="480" w:lineRule="auto"/>
        <w:ind w:hanging="480"/>
      </w:pPr>
      <w:r>
        <w:t xml:space="preserve">Rosenthal, Arthur. “The History of Calculus.” </w:t>
      </w:r>
      <w:r>
        <w:rPr>
          <w:i/>
          <w:iCs/>
        </w:rPr>
        <w:t>The American Mathematical Monthly</w:t>
      </w:r>
      <w:r>
        <w:t xml:space="preserve">, vol. 58, no. 2, 1951, pp. 75–86. </w:t>
      </w:r>
      <w:r>
        <w:rPr>
          <w:i/>
          <w:iCs/>
        </w:rPr>
        <w:t>JSTOR</w:t>
      </w:r>
      <w:r>
        <w:t xml:space="preserve">, </w:t>
      </w:r>
      <w:hyperlink r:id="rId9" w:history="1">
        <w:r>
          <w:rPr>
            <w:rStyle w:val="Hyperlink"/>
          </w:rPr>
          <w:t>https://doi.org/10.2307/2308368</w:t>
        </w:r>
      </w:hyperlink>
      <w:r>
        <w:t>.</w:t>
      </w:r>
    </w:p>
    <w:p w14:paraId="1365CF94" w14:textId="52E61D90" w:rsidR="00D035C1" w:rsidRDefault="00D035C1" w:rsidP="003E04BD">
      <w:pPr>
        <w:spacing w:line="480" w:lineRule="auto"/>
        <w:ind w:hanging="480"/>
      </w:pPr>
      <w:r>
        <w:tab/>
        <w:t xml:space="preserve">This text talks about </w:t>
      </w:r>
      <w:r w:rsidR="00B72DA1">
        <w:t>Archimedes’</w:t>
      </w:r>
      <w:r>
        <w:t xml:space="preserve"> </w:t>
      </w:r>
      <w:r w:rsidR="00EE6F1F">
        <w:t xml:space="preserve">achievements in finding the volumes of shapes for which the volumes had not been previously known. It then mentions </w:t>
      </w:r>
      <w:r w:rsidR="00946DE1">
        <w:t xml:space="preserve">that further work was primarily done by </w:t>
      </w:r>
      <w:r w:rsidR="00924B6D">
        <w:t xml:space="preserve">Asian and Middle Eastern </w:t>
      </w:r>
      <w:r w:rsidR="00095A5A">
        <w:t>mathematicians but</w:t>
      </w:r>
      <w:r w:rsidR="00924B6D">
        <w:t xml:space="preserve"> does not go into detail. </w:t>
      </w:r>
      <w:r w:rsidR="00095A5A">
        <w:t xml:space="preserve"> This paper next goes on in great detail about </w:t>
      </w:r>
      <w:r w:rsidR="00467F75">
        <w:t xml:space="preserve">the work that European mathematicians did on differentiation, integration, limits, and infinite series which </w:t>
      </w:r>
      <w:r w:rsidR="00B72DA1">
        <w:t>led</w:t>
      </w:r>
      <w:r w:rsidR="00467F75">
        <w:t xml:space="preserve"> up to Newton and Leibniz’s discovery.</w:t>
      </w:r>
    </w:p>
    <w:p w14:paraId="6170ED1D" w14:textId="6339471B" w:rsidR="00467F75" w:rsidRDefault="00467F75" w:rsidP="003E04BD">
      <w:pPr>
        <w:spacing w:line="480" w:lineRule="auto"/>
        <w:ind w:hanging="480"/>
      </w:pPr>
      <w:r>
        <w:tab/>
      </w:r>
      <w:r>
        <w:tab/>
      </w:r>
      <w:r w:rsidR="004929F8">
        <w:t xml:space="preserve">This will be useful for </w:t>
      </w:r>
      <w:r w:rsidR="00B63658">
        <w:t>the information it has on the specific developments made by several European mathematicians. For example</w:t>
      </w:r>
      <w:r w:rsidR="00425A22">
        <w:t>,</w:t>
      </w:r>
      <w:r w:rsidR="00B63658">
        <w:t xml:space="preserve"> </w:t>
      </w:r>
      <w:r w:rsidR="008C03EE">
        <w:t xml:space="preserve">it </w:t>
      </w:r>
      <w:r w:rsidR="00157A3B">
        <w:t>precisely describes Fermat’s method of finding tangent lines.</w:t>
      </w:r>
      <w:r w:rsidR="00425A22">
        <w:t xml:space="preserve"> It </w:t>
      </w:r>
      <w:r w:rsidR="00054429">
        <w:t xml:space="preserve">also </w:t>
      </w:r>
      <w:r w:rsidR="00B810AD">
        <w:t xml:space="preserve">helps make it clear that a lot of </w:t>
      </w:r>
      <w:r w:rsidR="004C44E1">
        <w:t xml:space="preserve">the specific </w:t>
      </w:r>
      <w:r w:rsidR="00541CE6">
        <w:t xml:space="preserve">concepts of calculus were </w:t>
      </w:r>
      <w:r w:rsidR="00B72DA1">
        <w:t>invented</w:t>
      </w:r>
      <w:r w:rsidR="00541CE6">
        <w:t xml:space="preserve"> by several different mathematicians over </w:t>
      </w:r>
      <w:r w:rsidR="00B72DA1">
        <w:t>the centuries but that it was first formalized and generalized by Newton and Leibniz.</w:t>
      </w:r>
    </w:p>
    <w:p w14:paraId="6A05D20C" w14:textId="77777777" w:rsidR="005E47C9" w:rsidRDefault="005E47C9" w:rsidP="005E47C9">
      <w:pPr>
        <w:spacing w:line="480" w:lineRule="auto"/>
        <w:ind w:hanging="480"/>
      </w:pPr>
      <w:r>
        <w:t xml:space="preserve">Katz, Victor J. “Ideas of Calculus in Islam and India.” </w:t>
      </w:r>
      <w:r>
        <w:rPr>
          <w:i/>
          <w:iCs/>
        </w:rPr>
        <w:t>Mathematics Magazine</w:t>
      </w:r>
      <w:r>
        <w:t xml:space="preserve">, vol. 68, no. 3, 1995, pp. 163–74. </w:t>
      </w:r>
      <w:r>
        <w:rPr>
          <w:i/>
          <w:iCs/>
        </w:rPr>
        <w:t>JSTOR</w:t>
      </w:r>
      <w:r>
        <w:t xml:space="preserve">, </w:t>
      </w:r>
      <w:hyperlink r:id="rId10" w:history="1">
        <w:r>
          <w:rPr>
            <w:rStyle w:val="Hyperlink"/>
          </w:rPr>
          <w:t>https://doi.org/10.2307/2691411</w:t>
        </w:r>
      </w:hyperlink>
      <w:r>
        <w:t>.</w:t>
      </w:r>
    </w:p>
    <w:p w14:paraId="57B28AC9" w14:textId="33ADE730" w:rsidR="00AE249A" w:rsidRDefault="00AE249A" w:rsidP="005E47C9">
      <w:pPr>
        <w:spacing w:line="480" w:lineRule="auto"/>
        <w:ind w:hanging="480"/>
      </w:pPr>
      <w:r>
        <w:tab/>
        <w:t xml:space="preserve">This text starts by saying that some ideas which mathematicians in Europe </w:t>
      </w:r>
      <w:r w:rsidR="00457A42">
        <w:t>had thought to be invented in the 16</w:t>
      </w:r>
      <w:r w:rsidR="00457A42" w:rsidRPr="00457A42">
        <w:rPr>
          <w:vertAlign w:val="superscript"/>
        </w:rPr>
        <w:t>th</w:t>
      </w:r>
      <w:r w:rsidR="00457A42">
        <w:t xml:space="preserve"> or 17</w:t>
      </w:r>
      <w:r w:rsidR="00457A42" w:rsidRPr="00457A42">
        <w:rPr>
          <w:vertAlign w:val="superscript"/>
        </w:rPr>
        <w:t>th</w:t>
      </w:r>
      <w:r w:rsidR="00457A42">
        <w:t xml:space="preserve"> centuries had actually been known for hundreds of years in other parts of the </w:t>
      </w:r>
      <w:r w:rsidR="009B67FA">
        <w:t>world</w:t>
      </w:r>
      <w:r w:rsidR="00457A42">
        <w:t xml:space="preserve">. It then describes Fermat’s method for finding the area under a </w:t>
      </w:r>
      <w:r w:rsidR="009B67FA">
        <w:t>power function. In the following section</w:t>
      </w:r>
      <w:r w:rsidR="009C0DB6">
        <w:t>,</w:t>
      </w:r>
      <w:r w:rsidR="009B67FA">
        <w:t xml:space="preserve"> </w:t>
      </w:r>
      <w:r w:rsidR="001D5C63">
        <w:t xml:space="preserve">the text describes </w:t>
      </w:r>
      <w:r w:rsidR="00A02016">
        <w:t>a similar method to Fermat’s which was used in the 11</w:t>
      </w:r>
      <w:r w:rsidR="00A02016" w:rsidRPr="00A02016">
        <w:rPr>
          <w:vertAlign w:val="superscript"/>
        </w:rPr>
        <w:t>th</w:t>
      </w:r>
      <w:r w:rsidR="00A02016">
        <w:t xml:space="preserve"> century in Egypt to perform the integration of paraboloids. </w:t>
      </w:r>
      <w:r w:rsidR="00463451">
        <w:t>In the final section</w:t>
      </w:r>
      <w:r w:rsidR="00AB158A">
        <w:t>,</w:t>
      </w:r>
      <w:r w:rsidR="00463451">
        <w:t xml:space="preserve"> the author shows the discovery of </w:t>
      </w:r>
      <w:r w:rsidR="00AB158A">
        <w:t>power series for trigonometric functions.</w:t>
      </w:r>
    </w:p>
    <w:p w14:paraId="52090C94" w14:textId="2413ACB2" w:rsidR="00A52BB4" w:rsidRDefault="00A52BB4" w:rsidP="005E47C9">
      <w:pPr>
        <w:spacing w:line="480" w:lineRule="auto"/>
        <w:ind w:hanging="480"/>
      </w:pPr>
      <w:r>
        <w:tab/>
      </w:r>
      <w:r>
        <w:tab/>
        <w:t xml:space="preserve">This </w:t>
      </w:r>
      <w:r w:rsidR="001201C6">
        <w:t xml:space="preserve">source helps </w:t>
      </w:r>
      <w:r w:rsidR="002343A2">
        <w:t xml:space="preserve">add more context to the history </w:t>
      </w:r>
      <w:r w:rsidR="00B21286">
        <w:t xml:space="preserve">of calculus. Even though this information was </w:t>
      </w:r>
      <w:r w:rsidR="001500A5">
        <w:t xml:space="preserve">unknown to Newton and Leibniz, it is still </w:t>
      </w:r>
      <w:r w:rsidR="007065DB">
        <w:t xml:space="preserve">important to know that </w:t>
      </w:r>
      <w:r w:rsidR="00031AD7">
        <w:t xml:space="preserve">the work done by </w:t>
      </w:r>
      <w:r w:rsidR="00CA6AB7">
        <w:t xml:space="preserve">them and their contemporaries was not the only </w:t>
      </w:r>
      <w:r w:rsidR="009E12C0">
        <w:t xml:space="preserve">work that had been done, and in other parts of the world, it had been done earlier. To leave this out would be to imply that </w:t>
      </w:r>
      <w:r w:rsidR="004A4018">
        <w:t>only Europe made any discoveries or that the only mattered when made in Europe.</w:t>
      </w:r>
    </w:p>
    <w:p w14:paraId="46A84581" w14:textId="77777777" w:rsidR="005E47C9" w:rsidRDefault="005E47C9" w:rsidP="003E04BD">
      <w:pPr>
        <w:spacing w:line="480" w:lineRule="auto"/>
        <w:ind w:hanging="480"/>
      </w:pPr>
    </w:p>
    <w:p w14:paraId="1A826460" w14:textId="77777777" w:rsidR="003E04BD" w:rsidRPr="007E6B28" w:rsidRDefault="003E04BD" w:rsidP="000F23F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</w:p>
    <w:sectPr w:rsidR="003E04BD" w:rsidRPr="007E6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7D"/>
    <w:rsid w:val="0002196E"/>
    <w:rsid w:val="00025745"/>
    <w:rsid w:val="00031AD7"/>
    <w:rsid w:val="00054429"/>
    <w:rsid w:val="00054677"/>
    <w:rsid w:val="0006257D"/>
    <w:rsid w:val="00095A5A"/>
    <w:rsid w:val="000A369E"/>
    <w:rsid w:val="000C3B43"/>
    <w:rsid w:val="000E741C"/>
    <w:rsid w:val="000F23F8"/>
    <w:rsid w:val="00104901"/>
    <w:rsid w:val="00112745"/>
    <w:rsid w:val="001201C6"/>
    <w:rsid w:val="0014187D"/>
    <w:rsid w:val="001500A5"/>
    <w:rsid w:val="00157A3B"/>
    <w:rsid w:val="00164856"/>
    <w:rsid w:val="001834E2"/>
    <w:rsid w:val="001A43F5"/>
    <w:rsid w:val="001D5C63"/>
    <w:rsid w:val="00200ACF"/>
    <w:rsid w:val="00207A56"/>
    <w:rsid w:val="002343A2"/>
    <w:rsid w:val="0023602A"/>
    <w:rsid w:val="00236208"/>
    <w:rsid w:val="00256F77"/>
    <w:rsid w:val="00265ABF"/>
    <w:rsid w:val="002A6830"/>
    <w:rsid w:val="002B68AB"/>
    <w:rsid w:val="002F3B25"/>
    <w:rsid w:val="003056BC"/>
    <w:rsid w:val="00347031"/>
    <w:rsid w:val="003737AB"/>
    <w:rsid w:val="00386AA7"/>
    <w:rsid w:val="00397EEF"/>
    <w:rsid w:val="003E04BD"/>
    <w:rsid w:val="003E04D4"/>
    <w:rsid w:val="00410C06"/>
    <w:rsid w:val="00425A22"/>
    <w:rsid w:val="00457A42"/>
    <w:rsid w:val="00463451"/>
    <w:rsid w:val="00467F75"/>
    <w:rsid w:val="00475846"/>
    <w:rsid w:val="004929F8"/>
    <w:rsid w:val="00493F9F"/>
    <w:rsid w:val="004A4018"/>
    <w:rsid w:val="004C44E1"/>
    <w:rsid w:val="004F3BF8"/>
    <w:rsid w:val="005067A5"/>
    <w:rsid w:val="00541CE6"/>
    <w:rsid w:val="005A413D"/>
    <w:rsid w:val="005E47C9"/>
    <w:rsid w:val="00685A49"/>
    <w:rsid w:val="006B2FEE"/>
    <w:rsid w:val="007065DB"/>
    <w:rsid w:val="00781277"/>
    <w:rsid w:val="007D4B1E"/>
    <w:rsid w:val="007D5C95"/>
    <w:rsid w:val="007E6B28"/>
    <w:rsid w:val="007F2543"/>
    <w:rsid w:val="007F31FB"/>
    <w:rsid w:val="008073FE"/>
    <w:rsid w:val="008304D6"/>
    <w:rsid w:val="00850329"/>
    <w:rsid w:val="00863F6A"/>
    <w:rsid w:val="00880584"/>
    <w:rsid w:val="008C03EE"/>
    <w:rsid w:val="008E4480"/>
    <w:rsid w:val="00911609"/>
    <w:rsid w:val="00924B6D"/>
    <w:rsid w:val="00925117"/>
    <w:rsid w:val="00946DE1"/>
    <w:rsid w:val="009A4719"/>
    <w:rsid w:val="009B43F2"/>
    <w:rsid w:val="009B67FA"/>
    <w:rsid w:val="009C0DB6"/>
    <w:rsid w:val="009C2865"/>
    <w:rsid w:val="009E12C0"/>
    <w:rsid w:val="009E436A"/>
    <w:rsid w:val="00A019A2"/>
    <w:rsid w:val="00A02016"/>
    <w:rsid w:val="00A52BB4"/>
    <w:rsid w:val="00AB158A"/>
    <w:rsid w:val="00AC6905"/>
    <w:rsid w:val="00AD45AD"/>
    <w:rsid w:val="00AE249A"/>
    <w:rsid w:val="00AF7611"/>
    <w:rsid w:val="00B21286"/>
    <w:rsid w:val="00B63658"/>
    <w:rsid w:val="00B72DA1"/>
    <w:rsid w:val="00B810AD"/>
    <w:rsid w:val="00B95FB9"/>
    <w:rsid w:val="00BA6583"/>
    <w:rsid w:val="00BC6369"/>
    <w:rsid w:val="00BF4BB3"/>
    <w:rsid w:val="00C06FC9"/>
    <w:rsid w:val="00C771B5"/>
    <w:rsid w:val="00C868DB"/>
    <w:rsid w:val="00CA572F"/>
    <w:rsid w:val="00CA6AB7"/>
    <w:rsid w:val="00CA7600"/>
    <w:rsid w:val="00CB5241"/>
    <w:rsid w:val="00CB79F9"/>
    <w:rsid w:val="00CD3A10"/>
    <w:rsid w:val="00D035C1"/>
    <w:rsid w:val="00D10E0B"/>
    <w:rsid w:val="00D32FB2"/>
    <w:rsid w:val="00D80657"/>
    <w:rsid w:val="00DD4B79"/>
    <w:rsid w:val="00DF0E17"/>
    <w:rsid w:val="00DF1E4C"/>
    <w:rsid w:val="00E11580"/>
    <w:rsid w:val="00E16463"/>
    <w:rsid w:val="00E36D91"/>
    <w:rsid w:val="00E46B77"/>
    <w:rsid w:val="00E46D8F"/>
    <w:rsid w:val="00E7193F"/>
    <w:rsid w:val="00E73358"/>
    <w:rsid w:val="00EE6F1F"/>
    <w:rsid w:val="00F103CE"/>
    <w:rsid w:val="00F203A1"/>
    <w:rsid w:val="00F22F7F"/>
    <w:rsid w:val="00F2425A"/>
    <w:rsid w:val="00F34051"/>
    <w:rsid w:val="00F8166A"/>
    <w:rsid w:val="00F96575"/>
    <w:rsid w:val="00FD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8097F"/>
  <w15:chartTrackingRefBased/>
  <w15:docId w15:val="{10926F0C-0115-44F0-9686-83BC0094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36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6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0A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57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6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79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33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304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0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39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51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5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89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63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79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89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central.collegeboard.org/courses/resources/calculus-before-newton-and-leibniz" TargetMode="External"/><Relationship Id="rId3" Type="http://schemas.openxmlformats.org/officeDocument/2006/relationships/styles" Target="styles.xml"/><Relationship Id="rId7" Type="http://schemas.openxmlformats.org/officeDocument/2006/relationships/hyperlink" Target="https://doi.org/10.1090/bull/1526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jstor.org/stable/27956626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i.org/10.2307/269141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2307/23083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E3C788A-CA22-4BCE-AF11-32D42F45E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1</Pages>
  <Words>777</Words>
  <Characters>4433</Characters>
  <Application>Microsoft Office Word</Application>
  <DocSecurity>4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Coyne</dc:creator>
  <cp:keywords/>
  <dc:description/>
  <cp:lastModifiedBy>Ryan Coyne</cp:lastModifiedBy>
  <cp:revision>122</cp:revision>
  <dcterms:created xsi:type="dcterms:W3CDTF">2022-04-29T23:55:00Z</dcterms:created>
  <dcterms:modified xsi:type="dcterms:W3CDTF">2022-05-04T23:18:00Z</dcterms:modified>
</cp:coreProperties>
</file>