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经纪业务的处理是否遵循了“规则 ”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某会计师事务所是由张新、李里合伙创建的，最近发生了下列经济业务，并由会计做了相应的处理：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6月10日，张新从事务所出纳处拿了 380 元现金给自己的孩子购买玩具，会计将 380元记为事务所的办公费用，理由是，张新是事务所合伙人，事务所的钱也有张新的一部分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6月20日，事务所收到某外资企业支付的业务咨询费 2 000 美元，会计没有将其折算为人民币反映，而是直接计入到美元账户中。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6月30日，计提固定资产折旧，采用年数总和法，而此前计提折旧均采用直线法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6月30日，事务所购买了一台电脑，价值 12 000 元，为了少计利润，少缴税，将12 000 元一次性全部计入当期管理费用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案例要求：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根据上述资料，分析这些会计处理是否正确，如果错误，主要是违背了哪项会计假设或会计原则？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张新取钱用于私人开支，不属于事务所的业务，不能作为事务所的办公费支出。这里违背了会计主体假设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我国有关法规规定，企业应当以人民币作为记账本位币，但企业业务收支以外币为主，可以选择某种外币作为记账本位币。而该事务所直接将 2 000 美元记账，需看其究竟以何种货币为记账本位币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计提折旧，前后期采用不同的计算方法，违背了 会计上的可比性要求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购买电脑应当作为资本性支出，分期摊销其成本，不能一次性计入当期费用，违背了划分收益性支出与资本性支出原则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  <w:szCs w:val="18"/>
      </w:rPr>
      <w:t>由各班学委收集，学习部整理</w:t>
    </w:r>
  </w:p>
  <w:p>
    <w:pPr>
      <w:pStyle w:val="2"/>
      <w:jc w:val="center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A51D9"/>
    <w:multiLevelType w:val="singleLevel"/>
    <w:tmpl w:val="8D2A51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43F971"/>
    <w:multiLevelType w:val="singleLevel"/>
    <w:tmpl w:val="A843F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D06AA"/>
    <w:rsid w:val="1D7718D9"/>
    <w:rsid w:val="1E22228F"/>
    <w:rsid w:val="58DF7761"/>
    <w:rsid w:val="FD5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2020-03-16T13:30:00Z</dcterms:created>
  <dc:creator>78205</dc:creator>
  <cp:lastModifiedBy>张博楠</cp:lastModifiedBy>
  <dcterms:modified xsi:type="dcterms:W3CDTF">2021-05-18T02:43:32Z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94DCFFA99A8142F3B744B2633C6025CD</vt:lpwstr>
  </property>
</Properties>
</file>