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3BF" w:rsidRPr="007663BF" w:rsidRDefault="007663BF" w:rsidP="007663BF">
      <w:pPr>
        <w:spacing w:afterLines="100" w:after="312" w:line="560" w:lineRule="exact"/>
        <w:ind w:firstLineChars="200" w:firstLine="640"/>
        <w:rPr>
          <w:rFonts w:hint="eastAsia"/>
          <w:sz w:val="32"/>
          <w:szCs w:val="32"/>
        </w:rPr>
      </w:pPr>
      <w:bookmarkStart w:id="0" w:name="_GoBack"/>
      <w:bookmarkEnd w:id="0"/>
      <w:r w:rsidRPr="007663BF">
        <w:rPr>
          <w:rFonts w:hint="eastAsia"/>
          <w:sz w:val="32"/>
          <w:szCs w:val="32"/>
        </w:rPr>
        <w:t>附件</w:t>
      </w:r>
      <w:r w:rsidRPr="007663BF">
        <w:rPr>
          <w:rFonts w:hint="eastAsia"/>
          <w:sz w:val="32"/>
          <w:szCs w:val="32"/>
        </w:rPr>
        <w:t>1</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《中国安全生产年鉴（</w:t>
      </w:r>
      <w:r w:rsidRPr="007663BF">
        <w:rPr>
          <w:rFonts w:hint="eastAsia"/>
          <w:sz w:val="32"/>
          <w:szCs w:val="32"/>
        </w:rPr>
        <w:t>2016</w:t>
      </w:r>
      <w:r w:rsidRPr="007663BF">
        <w:rPr>
          <w:rFonts w:hint="eastAsia"/>
          <w:sz w:val="32"/>
          <w:szCs w:val="32"/>
        </w:rPr>
        <w:t>年）》编写目录</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一、全国安全生产工作综述</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二、安全生产法律、行政法规和重要文件</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三、党和国家领导人关于安全生产工作的讲话</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四、国家安全监管总局负责人关于安全生产工作的讲话</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五、安全生产综合监督管理</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（一）安全生产法规标准工作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（二）安全生产宣传和安全文化建设工作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（三）规划科技工作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（四）非煤矿山安全监督管理工作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（五）交通运输等有关行业领域安全生产综合监督管理工作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（六）危险化学品和烟花爆竹安全监管以及非药品类易制毒化学品监督管理工作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（七）工贸行业安全监督管理工作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（八）职业安全健康监督管理工作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lastRenderedPageBreak/>
        <w:t>（九）安全培训教育工作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（十）国际交流与合作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六、煤矿安全监察</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（一）安全监察工作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（二）事故调查工作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（三）科技装备工作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（四）行业安全基础管理指导工作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七、安全生产应急管理</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八、工会劳动保护</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九、相关行业或领域安全生产工作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十、各省、自治区、直辖市及计划单列市安全生产工作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十一、主要产煤省（区、市）煤矿安全监察工作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十二、重点中央企业安全生产工作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十三、安全生产协会、学会工作</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十四、重特大事故案例</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十五、国务院办公厅、国务院安委会文件，有关部门规章、文件和地方性法规、地方政府规章及文件</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十六、安全生产大事记</w:t>
      </w:r>
    </w:p>
    <w:p w:rsidR="007663BF" w:rsidRPr="007663BF" w:rsidRDefault="007663BF" w:rsidP="007663BF">
      <w:pPr>
        <w:spacing w:afterLines="100" w:after="312" w:line="560" w:lineRule="exact"/>
        <w:ind w:firstLineChars="200" w:firstLine="640"/>
        <w:rPr>
          <w:rFonts w:hint="eastAsia"/>
          <w:sz w:val="32"/>
          <w:szCs w:val="32"/>
        </w:rPr>
      </w:pPr>
      <w:r w:rsidRPr="007663BF">
        <w:rPr>
          <w:rFonts w:hint="eastAsia"/>
          <w:sz w:val="32"/>
          <w:szCs w:val="32"/>
        </w:rPr>
        <w:t>十七、全国事故与职业病统计资料</w:t>
      </w:r>
    </w:p>
    <w:sectPr w:rsidR="007663BF" w:rsidRPr="007663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2C8" w:rsidRDefault="004662C8" w:rsidP="007663BF">
      <w:r>
        <w:separator/>
      </w:r>
    </w:p>
  </w:endnote>
  <w:endnote w:type="continuationSeparator" w:id="0">
    <w:p w:rsidR="004662C8" w:rsidRDefault="004662C8" w:rsidP="0076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2C8" w:rsidRDefault="004662C8" w:rsidP="007663BF">
      <w:r>
        <w:separator/>
      </w:r>
    </w:p>
  </w:footnote>
  <w:footnote w:type="continuationSeparator" w:id="0">
    <w:p w:rsidR="004662C8" w:rsidRDefault="004662C8" w:rsidP="00766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0D6"/>
    <w:multiLevelType w:val="hybridMultilevel"/>
    <w:tmpl w:val="FBA47776"/>
    <w:lvl w:ilvl="0" w:tplc="04090017">
      <w:start w:val="1"/>
      <w:numFmt w:val="chineseCountingThousand"/>
      <w:lvlText w:val="(%1)"/>
      <w:lvlJc w:val="left"/>
      <w:pPr>
        <w:ind w:left="420" w:hanging="42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8381943"/>
    <w:multiLevelType w:val="hybridMultilevel"/>
    <w:tmpl w:val="A1EC4BA4"/>
    <w:lvl w:ilvl="0" w:tplc="5D3664C8">
      <w:start w:val="1"/>
      <w:numFmt w:val="decimal"/>
      <w:lvlText w:val="%1、"/>
      <w:lvlJc w:val="left"/>
      <w:pPr>
        <w:tabs>
          <w:tab w:val="num" w:pos="1120"/>
        </w:tabs>
        <w:ind w:left="1120" w:hanging="480"/>
      </w:pPr>
      <w:rPr>
        <w:rFonts w:cs="Times New Roman"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2" w15:restartNumberingAfterBreak="0">
    <w:nsid w:val="405255E3"/>
    <w:multiLevelType w:val="hybridMultilevel"/>
    <w:tmpl w:val="7DEE97E0"/>
    <w:lvl w:ilvl="0" w:tplc="4552AE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15:restartNumberingAfterBreak="0">
    <w:nsid w:val="492F5A7A"/>
    <w:multiLevelType w:val="hybridMultilevel"/>
    <w:tmpl w:val="31C26C90"/>
    <w:lvl w:ilvl="0" w:tplc="3610658C">
      <w:start w:val="1"/>
      <w:numFmt w:val="japaneseCounting"/>
      <w:lvlText w:val="%1、"/>
      <w:lvlJc w:val="left"/>
      <w:pPr>
        <w:tabs>
          <w:tab w:val="num" w:pos="1440"/>
        </w:tabs>
        <w:ind w:left="1440" w:hanging="72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52A304A6"/>
    <w:multiLevelType w:val="hybridMultilevel"/>
    <w:tmpl w:val="B5B8EEFA"/>
    <w:lvl w:ilvl="0" w:tplc="68CA90F6">
      <w:start w:val="1"/>
      <w:numFmt w:val="chineseCountingThousand"/>
      <w:suff w:val="nothing"/>
      <w:lvlText w:val="%1、"/>
      <w:lvlJc w:val="left"/>
      <w:pPr>
        <w:ind w:left="420" w:hanging="420"/>
      </w:pPr>
      <w:rPr>
        <w:rFonts w:cs="Times New Roman"/>
      </w:rPr>
    </w:lvl>
    <w:lvl w:ilvl="1" w:tplc="04090019">
      <w:start w:val="1"/>
      <w:numFmt w:val="decimal"/>
      <w:lvlText w:val="%2."/>
      <w:lvlJc w:val="left"/>
      <w:pPr>
        <w:tabs>
          <w:tab w:val="num" w:pos="-1112"/>
        </w:tabs>
        <w:ind w:left="-1112" w:hanging="360"/>
      </w:pPr>
    </w:lvl>
    <w:lvl w:ilvl="2" w:tplc="0409001B">
      <w:start w:val="1"/>
      <w:numFmt w:val="decimal"/>
      <w:lvlText w:val="%3."/>
      <w:lvlJc w:val="left"/>
      <w:pPr>
        <w:tabs>
          <w:tab w:val="num" w:pos="-392"/>
        </w:tabs>
        <w:ind w:left="-392" w:hanging="360"/>
      </w:pPr>
    </w:lvl>
    <w:lvl w:ilvl="3" w:tplc="0409000F">
      <w:start w:val="1"/>
      <w:numFmt w:val="decimal"/>
      <w:lvlText w:val="%4."/>
      <w:lvlJc w:val="left"/>
      <w:pPr>
        <w:tabs>
          <w:tab w:val="num" w:pos="328"/>
        </w:tabs>
        <w:ind w:left="328" w:hanging="360"/>
      </w:pPr>
    </w:lvl>
    <w:lvl w:ilvl="4" w:tplc="04090019">
      <w:start w:val="1"/>
      <w:numFmt w:val="decimal"/>
      <w:lvlText w:val="%5."/>
      <w:lvlJc w:val="left"/>
      <w:pPr>
        <w:tabs>
          <w:tab w:val="num" w:pos="1048"/>
        </w:tabs>
        <w:ind w:left="1048" w:hanging="360"/>
      </w:pPr>
    </w:lvl>
    <w:lvl w:ilvl="5" w:tplc="0409001B">
      <w:start w:val="1"/>
      <w:numFmt w:val="decimal"/>
      <w:lvlText w:val="%6."/>
      <w:lvlJc w:val="left"/>
      <w:pPr>
        <w:tabs>
          <w:tab w:val="num" w:pos="1768"/>
        </w:tabs>
        <w:ind w:left="1768" w:hanging="360"/>
      </w:pPr>
    </w:lvl>
    <w:lvl w:ilvl="6" w:tplc="0409000F">
      <w:start w:val="1"/>
      <w:numFmt w:val="decimal"/>
      <w:lvlText w:val="%7."/>
      <w:lvlJc w:val="left"/>
      <w:pPr>
        <w:tabs>
          <w:tab w:val="num" w:pos="2488"/>
        </w:tabs>
        <w:ind w:left="2488" w:hanging="360"/>
      </w:pPr>
    </w:lvl>
    <w:lvl w:ilvl="7" w:tplc="04090019">
      <w:start w:val="1"/>
      <w:numFmt w:val="decimal"/>
      <w:lvlText w:val="%8."/>
      <w:lvlJc w:val="left"/>
      <w:pPr>
        <w:tabs>
          <w:tab w:val="num" w:pos="3208"/>
        </w:tabs>
        <w:ind w:left="3208" w:hanging="360"/>
      </w:pPr>
    </w:lvl>
    <w:lvl w:ilvl="8" w:tplc="0409001B">
      <w:start w:val="1"/>
      <w:numFmt w:val="decimal"/>
      <w:lvlText w:val="%9."/>
      <w:lvlJc w:val="left"/>
      <w:pPr>
        <w:tabs>
          <w:tab w:val="num" w:pos="3928"/>
        </w:tabs>
        <w:ind w:left="3928" w:hanging="360"/>
      </w:pPr>
    </w:lvl>
  </w:abstractNum>
  <w:num w:numId="1">
    <w:abstractNumId w:val="3"/>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548D"/>
    <w:rsid w:val="00043166"/>
    <w:rsid w:val="00044C03"/>
    <w:rsid w:val="000E7CCD"/>
    <w:rsid w:val="000F5187"/>
    <w:rsid w:val="00131E2F"/>
    <w:rsid w:val="001520BF"/>
    <w:rsid w:val="00160FE0"/>
    <w:rsid w:val="00176203"/>
    <w:rsid w:val="00191044"/>
    <w:rsid w:val="001E2A39"/>
    <w:rsid w:val="00266631"/>
    <w:rsid w:val="00281618"/>
    <w:rsid w:val="002A07B4"/>
    <w:rsid w:val="002C23B1"/>
    <w:rsid w:val="002C6C7C"/>
    <w:rsid w:val="002E2E68"/>
    <w:rsid w:val="002E7E53"/>
    <w:rsid w:val="00305CDF"/>
    <w:rsid w:val="00323C8E"/>
    <w:rsid w:val="003A47A2"/>
    <w:rsid w:val="00452C6C"/>
    <w:rsid w:val="004662C8"/>
    <w:rsid w:val="00492E85"/>
    <w:rsid w:val="004A4006"/>
    <w:rsid w:val="004E3FE5"/>
    <w:rsid w:val="004E4CE6"/>
    <w:rsid w:val="004F5CE5"/>
    <w:rsid w:val="00501E0C"/>
    <w:rsid w:val="00524E59"/>
    <w:rsid w:val="00531F89"/>
    <w:rsid w:val="005429DB"/>
    <w:rsid w:val="00546643"/>
    <w:rsid w:val="0055244F"/>
    <w:rsid w:val="005962AF"/>
    <w:rsid w:val="005A468A"/>
    <w:rsid w:val="005A6CBD"/>
    <w:rsid w:val="005A7CD0"/>
    <w:rsid w:val="005B0514"/>
    <w:rsid w:val="005B7EE9"/>
    <w:rsid w:val="005C7044"/>
    <w:rsid w:val="00653A11"/>
    <w:rsid w:val="006C1207"/>
    <w:rsid w:val="006D654F"/>
    <w:rsid w:val="007077DE"/>
    <w:rsid w:val="0073452D"/>
    <w:rsid w:val="007663BF"/>
    <w:rsid w:val="007B142F"/>
    <w:rsid w:val="007B4C46"/>
    <w:rsid w:val="00892813"/>
    <w:rsid w:val="008C2F67"/>
    <w:rsid w:val="008D35D3"/>
    <w:rsid w:val="008D5704"/>
    <w:rsid w:val="008F012C"/>
    <w:rsid w:val="009354C4"/>
    <w:rsid w:val="00965F85"/>
    <w:rsid w:val="00A054AF"/>
    <w:rsid w:val="00A54843"/>
    <w:rsid w:val="00A9379E"/>
    <w:rsid w:val="00AE20EF"/>
    <w:rsid w:val="00AE5A5F"/>
    <w:rsid w:val="00B009FF"/>
    <w:rsid w:val="00B03171"/>
    <w:rsid w:val="00B30EAE"/>
    <w:rsid w:val="00B50473"/>
    <w:rsid w:val="00B54899"/>
    <w:rsid w:val="00B561B5"/>
    <w:rsid w:val="00BE4FC0"/>
    <w:rsid w:val="00C04EFD"/>
    <w:rsid w:val="00C0548D"/>
    <w:rsid w:val="00C05A31"/>
    <w:rsid w:val="00C82F3E"/>
    <w:rsid w:val="00CD6DF4"/>
    <w:rsid w:val="00CE13F0"/>
    <w:rsid w:val="00CF5A64"/>
    <w:rsid w:val="00D11EC3"/>
    <w:rsid w:val="00DA0194"/>
    <w:rsid w:val="00DA4DB1"/>
    <w:rsid w:val="00DD44DD"/>
    <w:rsid w:val="00DE1CAE"/>
    <w:rsid w:val="00E16835"/>
    <w:rsid w:val="00E70E24"/>
    <w:rsid w:val="00E7364E"/>
    <w:rsid w:val="00EC47AA"/>
    <w:rsid w:val="00EE2F94"/>
    <w:rsid w:val="00EE4B65"/>
    <w:rsid w:val="00EF3FF3"/>
    <w:rsid w:val="00F13084"/>
    <w:rsid w:val="00F24C55"/>
    <w:rsid w:val="00F804FD"/>
    <w:rsid w:val="00FA2AFB"/>
    <w:rsid w:val="00FD21C5"/>
    <w:rsid w:val="00FD2536"/>
    <w:rsid w:val="00FF2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BE14D643-5BB0-4E99-B263-5E636329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Char"/>
    <w:qFormat/>
    <w:rsid w:val="00FA2AFB"/>
    <w:pPr>
      <w:keepNext/>
      <w:keepLines/>
      <w:spacing w:before="260" w:after="260" w:line="415" w:lineRule="auto"/>
      <w:outlineLvl w:val="1"/>
    </w:pPr>
    <w:rPr>
      <w:rFonts w:ascii="Cambria" w:hAnsi="Cambria" w:cs="宋体"/>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043166"/>
    <w:pPr>
      <w:widowControl/>
      <w:spacing w:before="100" w:beforeAutospacing="1" w:after="100" w:afterAutospacing="1"/>
      <w:jc w:val="left"/>
    </w:pPr>
    <w:rPr>
      <w:rFonts w:ascii="宋体" w:hAnsi="宋体" w:cs="宋体"/>
      <w:kern w:val="0"/>
      <w:sz w:val="24"/>
    </w:rPr>
  </w:style>
  <w:style w:type="character" w:customStyle="1" w:styleId="2Char">
    <w:name w:val="标题 2 Char"/>
    <w:basedOn w:val="a0"/>
    <w:link w:val="2"/>
    <w:locked/>
    <w:rsid w:val="00FA2AFB"/>
    <w:rPr>
      <w:rFonts w:ascii="Cambria" w:eastAsia="宋体" w:hAnsi="Cambria" w:cs="宋体"/>
      <w:b/>
      <w:bCs/>
      <w:kern w:val="2"/>
      <w:sz w:val="32"/>
      <w:szCs w:val="32"/>
      <w:lang w:val="en-US" w:eastAsia="zh-CN" w:bidi="ar-SA"/>
    </w:rPr>
  </w:style>
  <w:style w:type="paragraph" w:customStyle="1" w:styleId="ListParagraph">
    <w:name w:val="List Paragraph"/>
    <w:basedOn w:val="a"/>
    <w:rsid w:val="00FA2AFB"/>
    <w:pPr>
      <w:ind w:firstLineChars="200" w:firstLine="420"/>
    </w:pPr>
  </w:style>
  <w:style w:type="paragraph" w:styleId="a4">
    <w:name w:val="header"/>
    <w:basedOn w:val="a"/>
    <w:link w:val="Char"/>
    <w:rsid w:val="007663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663BF"/>
    <w:rPr>
      <w:kern w:val="2"/>
      <w:sz w:val="18"/>
      <w:szCs w:val="18"/>
    </w:rPr>
  </w:style>
  <w:style w:type="paragraph" w:styleId="a5">
    <w:name w:val="footer"/>
    <w:basedOn w:val="a"/>
    <w:link w:val="Char0"/>
    <w:rsid w:val="007663BF"/>
    <w:pPr>
      <w:tabs>
        <w:tab w:val="center" w:pos="4153"/>
        <w:tab w:val="right" w:pos="8306"/>
      </w:tabs>
      <w:snapToGrid w:val="0"/>
      <w:jc w:val="left"/>
    </w:pPr>
    <w:rPr>
      <w:sz w:val="18"/>
      <w:szCs w:val="18"/>
    </w:rPr>
  </w:style>
  <w:style w:type="character" w:customStyle="1" w:styleId="Char0">
    <w:name w:val="页脚 Char"/>
    <w:basedOn w:val="a0"/>
    <w:link w:val="a5"/>
    <w:rsid w:val="007663B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2698">
      <w:bodyDiv w:val="1"/>
      <w:marLeft w:val="0"/>
      <w:marRight w:val="0"/>
      <w:marTop w:val="0"/>
      <w:marBottom w:val="0"/>
      <w:divBdr>
        <w:top w:val="none" w:sz="0" w:space="0" w:color="auto"/>
        <w:left w:val="none" w:sz="0" w:space="0" w:color="auto"/>
        <w:bottom w:val="none" w:sz="0" w:space="0" w:color="auto"/>
        <w:right w:val="none" w:sz="0" w:space="0" w:color="auto"/>
      </w:divBdr>
    </w:div>
    <w:div w:id="402681684">
      <w:bodyDiv w:val="1"/>
      <w:marLeft w:val="0"/>
      <w:marRight w:val="0"/>
      <w:marTop w:val="0"/>
      <w:marBottom w:val="0"/>
      <w:divBdr>
        <w:top w:val="none" w:sz="0" w:space="0" w:color="auto"/>
        <w:left w:val="none" w:sz="0" w:space="0" w:color="auto"/>
        <w:bottom w:val="none" w:sz="0" w:space="0" w:color="auto"/>
        <w:right w:val="none" w:sz="0" w:space="0" w:color="auto"/>
      </w:divBdr>
    </w:div>
    <w:div w:id="7196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Words>
  <Characters>465</Characters>
  <Application>Microsoft Office Word</Application>
  <DocSecurity>0</DocSecurity>
  <Lines>3</Lines>
  <Paragraphs>1</Paragraphs>
  <ScaleCrop>false</ScaleCrop>
  <Company>芳向电脑工作室</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按照《总局关于开展政府网站普查工作的实施方案》的安排</dc:title>
  <dc:subject/>
  <dc:creator>周秀玲</dc:creator>
  <cp:keywords/>
  <cp:lastModifiedBy>HQU</cp:lastModifiedBy>
  <cp:revision>2</cp:revision>
  <dcterms:created xsi:type="dcterms:W3CDTF">2024-07-01T13:44:00Z</dcterms:created>
  <dcterms:modified xsi:type="dcterms:W3CDTF">2024-07-01T13:44:00Z</dcterms:modified>
</cp:coreProperties>
</file>