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6E2E58" w:rsidRDefault="006E2E58" w:rsidP="0053713D">
      <w:pPr>
        <w:adjustRightInd w:val="0"/>
        <w:snapToGrid w:val="0"/>
        <w:spacing w:afterLines="100" w:after="240"/>
        <w:rPr>
          <w:rFonts w:ascii="黑体" w:eastAsia="黑体" w:hAnsi="黑体" w:cs="黑体" w:hint="eastAsia"/>
          <w:bCs/>
          <w:sz w:val="30"/>
          <w:szCs w:val="30"/>
        </w:rPr>
      </w:pPr>
      <w:bookmarkStart w:id="0" w:name="_GoBack"/>
      <w:bookmarkEnd w:id="0"/>
      <w:r w:rsidRPr="006E2E58">
        <w:rPr>
          <w:rFonts w:ascii="黑体" w:eastAsia="黑体" w:hAnsi="黑体" w:cs="黑体" w:hint="eastAsia"/>
          <w:bCs/>
          <w:sz w:val="30"/>
          <w:szCs w:val="30"/>
        </w:rPr>
        <w:t>附件</w:t>
      </w:r>
      <w:r w:rsidR="000F5DAB">
        <w:rPr>
          <w:rFonts w:ascii="黑体" w:eastAsia="黑体" w:hAnsi="黑体" w:cs="黑体" w:hint="eastAsia"/>
          <w:bCs/>
          <w:sz w:val="30"/>
          <w:szCs w:val="30"/>
        </w:rPr>
        <w:t>1</w:t>
      </w:r>
    </w:p>
    <w:p w:rsidR="00812416" w:rsidRPr="0053713D" w:rsidRDefault="00812416" w:rsidP="008D777D">
      <w:pPr>
        <w:spacing w:beforeLines="50" w:before="120" w:afterLines="100" w:after="240"/>
        <w:jc w:val="center"/>
        <w:rPr>
          <w:rFonts w:ascii="华文中宋" w:eastAsia="华文中宋" w:hAnsi="华文中宋" w:cs="黑体" w:hint="eastAsia"/>
          <w:b/>
          <w:bCs/>
          <w:sz w:val="36"/>
          <w:szCs w:val="36"/>
        </w:rPr>
      </w:pPr>
      <w:r w:rsidRPr="0053713D">
        <w:rPr>
          <w:rFonts w:ascii="华文中宋" w:eastAsia="华文中宋" w:hAnsi="华文中宋" w:cs="黑体" w:hint="eastAsia"/>
          <w:b/>
          <w:bCs/>
          <w:sz w:val="36"/>
          <w:szCs w:val="36"/>
        </w:rPr>
        <w:t>烟花爆竹销毁安全</w:t>
      </w:r>
      <w:r w:rsidR="007C5388">
        <w:rPr>
          <w:rFonts w:ascii="华文中宋" w:eastAsia="华文中宋" w:hAnsi="华文中宋" w:cs="黑体" w:hint="eastAsia"/>
          <w:b/>
          <w:bCs/>
          <w:sz w:val="36"/>
          <w:szCs w:val="36"/>
        </w:rPr>
        <w:t>指南</w:t>
      </w:r>
      <w:r w:rsidR="00BC7A83">
        <w:rPr>
          <w:rFonts w:ascii="华文中宋" w:eastAsia="华文中宋" w:hAnsi="华文中宋" w:cs="黑体" w:hint="eastAsia"/>
          <w:b/>
          <w:bCs/>
          <w:sz w:val="36"/>
          <w:szCs w:val="36"/>
        </w:rPr>
        <w:t>（暂行）</w:t>
      </w:r>
    </w:p>
    <w:p w:rsidR="00D40455" w:rsidRPr="0053713D" w:rsidRDefault="00D40455" w:rsidP="00D40455">
      <w:pPr>
        <w:topLinePunct/>
        <w:adjustRightInd w:val="0"/>
        <w:snapToGrid w:val="0"/>
        <w:spacing w:line="600" w:lineRule="exact"/>
        <w:ind w:firstLineChars="200" w:firstLine="600"/>
        <w:rPr>
          <w:rFonts w:ascii="黑体" w:eastAsia="黑体" w:hAnsi="仿宋_GB2312" w:cs="仿宋_GB2312" w:hint="eastAsia"/>
          <w:sz w:val="30"/>
          <w:szCs w:val="30"/>
        </w:rPr>
      </w:pPr>
      <w:r>
        <w:rPr>
          <w:rFonts w:ascii="黑体" w:eastAsia="黑体" w:hAnsi="仿宋_GB2312" w:cs="仿宋_GB2312" w:hint="eastAsia"/>
          <w:sz w:val="30"/>
          <w:szCs w:val="30"/>
        </w:rPr>
        <w:t>一</w:t>
      </w:r>
      <w:r w:rsidRPr="0053713D">
        <w:rPr>
          <w:rFonts w:ascii="黑体" w:eastAsia="黑体" w:hAnsi="仿宋_GB2312" w:cs="仿宋_GB2312" w:hint="eastAsia"/>
          <w:sz w:val="30"/>
          <w:szCs w:val="30"/>
        </w:rPr>
        <w:t>、</w:t>
      </w:r>
      <w:r>
        <w:rPr>
          <w:rFonts w:ascii="黑体" w:eastAsia="黑体" w:hAnsi="仿宋_GB2312" w:cs="仿宋_GB2312" w:hint="eastAsia"/>
          <w:sz w:val="30"/>
          <w:szCs w:val="30"/>
        </w:rPr>
        <w:t>销毁前准备</w:t>
      </w:r>
    </w:p>
    <w:p w:rsidR="00D40455" w:rsidRPr="0053713D" w:rsidRDefault="003A6D4B" w:rsidP="00D40455">
      <w:pPr>
        <w:topLinePunct/>
        <w:adjustRightInd w:val="0"/>
        <w:snapToGrid w:val="0"/>
        <w:spacing w:line="600" w:lineRule="exact"/>
        <w:ind w:firstLineChars="200" w:firstLine="600"/>
        <w:rPr>
          <w:rFonts w:ascii="仿宋_GB2312" w:eastAsia="仿宋_GB2312" w:hAnsi="仿宋_GB2312" w:cs="仿宋_GB2312" w:hint="eastAsia"/>
          <w:sz w:val="30"/>
          <w:szCs w:val="30"/>
        </w:rPr>
      </w:pPr>
      <w:r>
        <w:rPr>
          <w:rFonts w:ascii="仿宋_GB2312" w:eastAsia="仿宋_GB2312" w:hAnsi="仿宋_GB2312" w:cs="仿宋_GB2312" w:hint="eastAsia"/>
          <w:sz w:val="30"/>
          <w:szCs w:val="30"/>
        </w:rPr>
        <w:t>（一）</w:t>
      </w:r>
      <w:r w:rsidR="00D40455" w:rsidRPr="0053713D">
        <w:rPr>
          <w:rFonts w:ascii="仿宋_GB2312" w:eastAsia="仿宋_GB2312" w:hAnsi="仿宋_GB2312" w:cs="仿宋_GB2312" w:hint="eastAsia"/>
          <w:sz w:val="30"/>
          <w:szCs w:val="30"/>
        </w:rPr>
        <w:t>销毁前应认真了解</w:t>
      </w:r>
      <w:r w:rsidR="00D40455">
        <w:rPr>
          <w:rFonts w:ascii="仿宋_GB2312" w:eastAsia="仿宋_GB2312" w:hAnsi="仿宋_GB2312" w:cs="仿宋_GB2312" w:hint="eastAsia"/>
          <w:sz w:val="30"/>
          <w:szCs w:val="30"/>
        </w:rPr>
        <w:t>待销毁</w:t>
      </w:r>
      <w:r w:rsidR="00D40455" w:rsidRPr="0053713D">
        <w:rPr>
          <w:rFonts w:ascii="仿宋_GB2312" w:eastAsia="仿宋_GB2312" w:hAnsi="仿宋_GB2312" w:cs="仿宋_GB2312" w:hint="eastAsia"/>
          <w:sz w:val="30"/>
          <w:szCs w:val="30"/>
        </w:rPr>
        <w:t>烟花爆竹的结构、性能</w:t>
      </w:r>
      <w:r w:rsidR="00EC44DC">
        <w:rPr>
          <w:rFonts w:ascii="仿宋_GB2312" w:eastAsia="仿宋_GB2312" w:hAnsi="仿宋_GB2312" w:cs="仿宋_GB2312" w:hint="eastAsia"/>
          <w:sz w:val="30"/>
          <w:szCs w:val="30"/>
        </w:rPr>
        <w:t>、物态</w:t>
      </w:r>
      <w:r w:rsidR="007C5388" w:rsidRPr="0053713D">
        <w:rPr>
          <w:rFonts w:ascii="仿宋_GB2312" w:eastAsia="仿宋_GB2312" w:hAnsi="仿宋_GB2312" w:cs="仿宋_GB2312" w:hint="eastAsia"/>
          <w:sz w:val="30"/>
          <w:szCs w:val="30"/>
        </w:rPr>
        <w:t>、</w:t>
      </w:r>
      <w:r w:rsidR="007C5388">
        <w:rPr>
          <w:rFonts w:ascii="仿宋_GB2312" w:eastAsia="仿宋_GB2312" w:hAnsi="仿宋_GB2312" w:cs="仿宋_GB2312" w:hint="eastAsia"/>
          <w:sz w:val="30"/>
          <w:szCs w:val="30"/>
        </w:rPr>
        <w:t>现状</w:t>
      </w:r>
      <w:r w:rsidR="00BF014A">
        <w:rPr>
          <w:rFonts w:ascii="仿宋_GB2312" w:eastAsia="仿宋_GB2312" w:hAnsi="仿宋_GB2312" w:cs="仿宋_GB2312" w:hint="eastAsia"/>
          <w:sz w:val="30"/>
          <w:szCs w:val="30"/>
        </w:rPr>
        <w:t>等情况</w:t>
      </w:r>
      <w:r w:rsidR="00D40455" w:rsidRPr="0053713D">
        <w:rPr>
          <w:rFonts w:ascii="仿宋_GB2312" w:eastAsia="仿宋_GB2312" w:hAnsi="仿宋_GB2312" w:cs="仿宋_GB2312" w:hint="eastAsia"/>
          <w:sz w:val="30"/>
          <w:szCs w:val="30"/>
        </w:rPr>
        <w:t>，并根据</w:t>
      </w:r>
      <w:r w:rsidR="00EC44DC">
        <w:rPr>
          <w:rFonts w:ascii="仿宋_GB2312" w:eastAsia="仿宋_GB2312" w:hAnsi="仿宋_GB2312" w:cs="仿宋_GB2312" w:hint="eastAsia"/>
          <w:sz w:val="30"/>
          <w:szCs w:val="30"/>
        </w:rPr>
        <w:t>其危险</w:t>
      </w:r>
      <w:r w:rsidR="00D40455" w:rsidRPr="0053713D">
        <w:rPr>
          <w:rFonts w:ascii="仿宋_GB2312" w:eastAsia="仿宋_GB2312" w:hAnsi="仿宋_GB2312" w:cs="仿宋_GB2312" w:hint="eastAsia"/>
          <w:sz w:val="30"/>
          <w:szCs w:val="30"/>
        </w:rPr>
        <w:t>特性</w:t>
      </w:r>
      <w:r w:rsidR="00961FDF">
        <w:rPr>
          <w:rFonts w:ascii="仿宋_GB2312" w:eastAsia="仿宋_GB2312" w:hAnsi="仿宋_GB2312" w:cs="仿宋_GB2312" w:hint="eastAsia"/>
          <w:sz w:val="30"/>
          <w:szCs w:val="30"/>
        </w:rPr>
        <w:t>，</w:t>
      </w:r>
      <w:r w:rsidR="00903541">
        <w:rPr>
          <w:rFonts w:ascii="仿宋_GB2312" w:eastAsia="仿宋_GB2312" w:hAnsi="仿宋_GB2312" w:cs="仿宋_GB2312" w:hint="eastAsia"/>
          <w:sz w:val="30"/>
          <w:szCs w:val="30"/>
        </w:rPr>
        <w:t>按照《烟花爆竹作业安全技术规程》（GB11652—2012）第13章规定，参照</w:t>
      </w:r>
      <w:r w:rsidR="00961FDF">
        <w:rPr>
          <w:rFonts w:ascii="仿宋_GB2312" w:eastAsia="仿宋_GB2312" w:hAnsi="仿宋_GB2312" w:cs="仿宋_GB2312" w:hint="eastAsia"/>
          <w:sz w:val="30"/>
          <w:szCs w:val="30"/>
        </w:rPr>
        <w:t>《废火药、炸药、弹药、引信及火工品处理、销毁与贮存安全技术要求》（GJB5120—2002）</w:t>
      </w:r>
      <w:r w:rsidR="00E41822">
        <w:rPr>
          <w:rFonts w:ascii="仿宋_GB2312" w:eastAsia="仿宋_GB2312" w:hAnsi="仿宋_GB2312" w:cs="仿宋_GB2312" w:hint="eastAsia"/>
          <w:sz w:val="30"/>
          <w:szCs w:val="30"/>
        </w:rPr>
        <w:t>，科学</w:t>
      </w:r>
      <w:r w:rsidR="00D40455" w:rsidRPr="0053713D">
        <w:rPr>
          <w:rFonts w:ascii="仿宋_GB2312" w:eastAsia="仿宋_GB2312" w:hAnsi="仿宋_GB2312" w:cs="仿宋_GB2312" w:hint="eastAsia"/>
          <w:sz w:val="30"/>
          <w:szCs w:val="30"/>
        </w:rPr>
        <w:t>制定销毁</w:t>
      </w:r>
      <w:r w:rsidR="00D40455">
        <w:rPr>
          <w:rFonts w:ascii="仿宋_GB2312" w:eastAsia="仿宋_GB2312" w:hAnsi="仿宋_GB2312" w:cs="仿宋_GB2312" w:hint="eastAsia"/>
          <w:sz w:val="30"/>
          <w:szCs w:val="30"/>
        </w:rPr>
        <w:t>处置</w:t>
      </w:r>
      <w:r w:rsidR="00D40455" w:rsidRPr="0053713D">
        <w:rPr>
          <w:rFonts w:ascii="仿宋_GB2312" w:eastAsia="仿宋_GB2312" w:hAnsi="仿宋_GB2312" w:cs="仿宋_GB2312" w:hint="eastAsia"/>
          <w:sz w:val="30"/>
          <w:szCs w:val="30"/>
        </w:rPr>
        <w:t>方案</w:t>
      </w:r>
      <w:r w:rsidR="00D40455">
        <w:rPr>
          <w:rFonts w:ascii="仿宋_GB2312" w:eastAsia="仿宋_GB2312" w:hAnsi="仿宋_GB2312" w:cs="仿宋_GB2312" w:hint="eastAsia"/>
          <w:sz w:val="30"/>
          <w:szCs w:val="30"/>
        </w:rPr>
        <w:t>、</w:t>
      </w:r>
      <w:r w:rsidR="00D40455" w:rsidRPr="0053713D">
        <w:rPr>
          <w:rFonts w:ascii="仿宋_GB2312" w:eastAsia="仿宋_GB2312" w:hAnsi="仿宋_GB2312" w:cs="仿宋_GB2312" w:hint="eastAsia"/>
          <w:sz w:val="30"/>
          <w:szCs w:val="30"/>
        </w:rPr>
        <w:t>安全警戒方案和应急救援预案</w:t>
      </w:r>
      <w:r w:rsidR="00D40455">
        <w:rPr>
          <w:rFonts w:ascii="仿宋_GB2312" w:eastAsia="仿宋_GB2312" w:hAnsi="仿宋_GB2312" w:cs="仿宋_GB2312" w:hint="eastAsia"/>
          <w:sz w:val="30"/>
          <w:szCs w:val="30"/>
        </w:rPr>
        <w:t>。</w:t>
      </w:r>
    </w:p>
    <w:p w:rsidR="001A6D77" w:rsidRPr="0053713D" w:rsidRDefault="003A6D4B" w:rsidP="0053713D">
      <w:pPr>
        <w:topLinePunct/>
        <w:adjustRightInd w:val="0"/>
        <w:snapToGrid w:val="0"/>
        <w:spacing w:line="600" w:lineRule="exact"/>
        <w:ind w:firstLineChars="200" w:firstLine="600"/>
        <w:rPr>
          <w:rFonts w:ascii="仿宋_GB2312" w:eastAsia="仿宋_GB2312" w:hAnsi="仿宋_GB2312" w:cs="仿宋_GB2312" w:hint="eastAsia"/>
          <w:sz w:val="30"/>
          <w:szCs w:val="30"/>
        </w:rPr>
      </w:pPr>
      <w:r>
        <w:rPr>
          <w:rFonts w:ascii="仿宋_GB2312" w:eastAsia="仿宋_GB2312" w:hAnsi="仿宋_GB2312" w:cs="仿宋_GB2312" w:hint="eastAsia"/>
          <w:sz w:val="30"/>
          <w:szCs w:val="30"/>
        </w:rPr>
        <w:t>（二）</w:t>
      </w:r>
      <w:r w:rsidR="008633E1">
        <w:rPr>
          <w:rFonts w:ascii="仿宋_GB2312" w:eastAsia="仿宋_GB2312" w:hAnsi="仿宋_GB2312" w:cs="仿宋_GB2312" w:hint="eastAsia"/>
          <w:sz w:val="30"/>
          <w:szCs w:val="30"/>
        </w:rPr>
        <w:t>待销毁烟花爆竹</w:t>
      </w:r>
      <w:r w:rsidR="00812416" w:rsidRPr="0053713D">
        <w:rPr>
          <w:rFonts w:ascii="仿宋_GB2312" w:eastAsia="仿宋_GB2312" w:hAnsi="仿宋_GB2312" w:cs="仿宋_GB2312" w:hint="eastAsia"/>
          <w:sz w:val="30"/>
          <w:szCs w:val="30"/>
        </w:rPr>
        <w:t>按其危险性分为Ⅰ类、Ⅱ类二大类</w:t>
      </w:r>
      <w:r w:rsidR="001B6421">
        <w:rPr>
          <w:rFonts w:ascii="仿宋_GB2312" w:eastAsia="仿宋_GB2312" w:hAnsi="仿宋_GB2312" w:cs="仿宋_GB2312" w:hint="eastAsia"/>
          <w:sz w:val="30"/>
          <w:szCs w:val="30"/>
        </w:rPr>
        <w:t>。</w:t>
      </w:r>
      <w:r w:rsidR="00812416" w:rsidRPr="0053713D">
        <w:rPr>
          <w:rFonts w:ascii="仿宋_GB2312" w:eastAsia="仿宋_GB2312" w:hAnsi="仿宋_GB2312" w:cs="仿宋_GB2312" w:hint="eastAsia"/>
          <w:sz w:val="30"/>
          <w:szCs w:val="30"/>
        </w:rPr>
        <w:t>Ⅰ类为具有整体爆炸或较大迸射危险，其</w:t>
      </w:r>
      <w:r w:rsidR="009B22DB">
        <w:rPr>
          <w:rFonts w:ascii="仿宋_GB2312" w:eastAsia="仿宋_GB2312" w:hAnsi="仿宋_GB2312" w:cs="仿宋_GB2312" w:hint="eastAsia"/>
          <w:sz w:val="30"/>
          <w:szCs w:val="30"/>
        </w:rPr>
        <w:t>爆炸</w:t>
      </w:r>
      <w:r w:rsidR="00812416" w:rsidRPr="0053713D">
        <w:rPr>
          <w:rFonts w:ascii="仿宋_GB2312" w:eastAsia="仿宋_GB2312" w:hAnsi="仿宋_GB2312" w:cs="仿宋_GB2312" w:hint="eastAsia"/>
          <w:sz w:val="30"/>
          <w:szCs w:val="30"/>
        </w:rPr>
        <w:t>破坏波及</w:t>
      </w:r>
      <w:r w:rsidR="009B22DB">
        <w:rPr>
          <w:rFonts w:ascii="仿宋_GB2312" w:eastAsia="仿宋_GB2312" w:hAnsi="仿宋_GB2312" w:cs="仿宋_GB2312" w:hint="eastAsia"/>
          <w:sz w:val="30"/>
          <w:szCs w:val="30"/>
        </w:rPr>
        <w:t>范围</w:t>
      </w:r>
      <w:r w:rsidR="00812416" w:rsidRPr="0053713D">
        <w:rPr>
          <w:rFonts w:ascii="仿宋_GB2312" w:eastAsia="仿宋_GB2312" w:hAnsi="仿宋_GB2312" w:cs="仿宋_GB2312" w:hint="eastAsia"/>
          <w:sz w:val="30"/>
          <w:szCs w:val="30"/>
        </w:rPr>
        <w:t>较大；Ⅱ类为具有燃烧危险</w:t>
      </w:r>
      <w:r w:rsidR="009B22DB">
        <w:rPr>
          <w:rFonts w:ascii="仿宋_GB2312" w:eastAsia="仿宋_GB2312" w:hAnsi="仿宋_GB2312" w:cs="仿宋_GB2312" w:hint="eastAsia"/>
          <w:sz w:val="30"/>
          <w:szCs w:val="30"/>
        </w:rPr>
        <w:t>，</w:t>
      </w:r>
      <w:r w:rsidR="00812416" w:rsidRPr="0053713D">
        <w:rPr>
          <w:rFonts w:ascii="仿宋_GB2312" w:eastAsia="仿宋_GB2312" w:hAnsi="仿宋_GB2312" w:cs="仿宋_GB2312" w:hint="eastAsia"/>
          <w:sz w:val="30"/>
          <w:szCs w:val="30"/>
        </w:rPr>
        <w:t>偶尔有较小爆炸或较小迸射危险</w:t>
      </w:r>
      <w:r w:rsidR="001B6421">
        <w:rPr>
          <w:rFonts w:ascii="仿宋_GB2312" w:eastAsia="仿宋_GB2312" w:hAnsi="仿宋_GB2312" w:cs="仿宋_GB2312" w:hint="eastAsia"/>
          <w:sz w:val="30"/>
          <w:szCs w:val="30"/>
        </w:rPr>
        <w:t>，</w:t>
      </w:r>
      <w:r w:rsidR="00812416" w:rsidRPr="0053713D">
        <w:rPr>
          <w:rFonts w:ascii="仿宋_GB2312" w:eastAsia="仿宋_GB2312" w:hAnsi="仿宋_GB2312" w:cs="仿宋_GB2312" w:hint="eastAsia"/>
          <w:sz w:val="30"/>
          <w:szCs w:val="30"/>
        </w:rPr>
        <w:t>或二者兼有</w:t>
      </w:r>
      <w:r w:rsidR="009B22DB">
        <w:rPr>
          <w:rFonts w:ascii="仿宋_GB2312" w:eastAsia="仿宋_GB2312" w:hAnsi="仿宋_GB2312" w:cs="仿宋_GB2312" w:hint="eastAsia"/>
          <w:sz w:val="30"/>
          <w:szCs w:val="30"/>
        </w:rPr>
        <w:t>，</w:t>
      </w:r>
      <w:r w:rsidR="00812416" w:rsidRPr="0053713D">
        <w:rPr>
          <w:rFonts w:ascii="仿宋_GB2312" w:eastAsia="仿宋_GB2312" w:hAnsi="仿宋_GB2312" w:cs="仿宋_GB2312" w:hint="eastAsia"/>
          <w:sz w:val="30"/>
          <w:szCs w:val="30"/>
        </w:rPr>
        <w:t>但无整体爆炸危险，其</w:t>
      </w:r>
      <w:r w:rsidR="009B22DB">
        <w:rPr>
          <w:rFonts w:ascii="仿宋_GB2312" w:eastAsia="仿宋_GB2312" w:hAnsi="仿宋_GB2312" w:cs="仿宋_GB2312" w:hint="eastAsia"/>
          <w:sz w:val="30"/>
          <w:szCs w:val="30"/>
        </w:rPr>
        <w:t>爆炸</w:t>
      </w:r>
      <w:r w:rsidR="00812416" w:rsidRPr="0053713D">
        <w:rPr>
          <w:rFonts w:ascii="仿宋_GB2312" w:eastAsia="仿宋_GB2312" w:hAnsi="仿宋_GB2312" w:cs="仿宋_GB2312" w:hint="eastAsia"/>
          <w:sz w:val="30"/>
          <w:szCs w:val="30"/>
        </w:rPr>
        <w:t>破坏限于较小范围</w:t>
      </w:r>
      <w:r w:rsidR="001B6421">
        <w:rPr>
          <w:rFonts w:ascii="仿宋_GB2312" w:eastAsia="仿宋_GB2312" w:hAnsi="仿宋_GB2312" w:cs="仿宋_GB2312" w:hint="eastAsia"/>
          <w:sz w:val="30"/>
          <w:szCs w:val="30"/>
        </w:rPr>
        <w:t>。</w:t>
      </w:r>
      <w:r w:rsidR="00812416" w:rsidRPr="0053713D">
        <w:rPr>
          <w:rFonts w:ascii="仿宋_GB2312" w:eastAsia="仿宋_GB2312" w:hAnsi="仿宋_GB2312" w:cs="仿宋_GB2312" w:hint="eastAsia"/>
          <w:sz w:val="30"/>
          <w:szCs w:val="30"/>
        </w:rPr>
        <w:t>具体分类</w:t>
      </w:r>
      <w:r w:rsidR="001B6421">
        <w:rPr>
          <w:rFonts w:ascii="仿宋_GB2312" w:eastAsia="仿宋_GB2312" w:hAnsi="仿宋_GB2312" w:cs="仿宋_GB2312" w:hint="eastAsia"/>
          <w:sz w:val="30"/>
          <w:szCs w:val="30"/>
        </w:rPr>
        <w:t>见</w:t>
      </w:r>
      <w:r w:rsidR="001A6D77" w:rsidRPr="0053713D">
        <w:rPr>
          <w:rFonts w:ascii="仿宋_GB2312" w:eastAsia="仿宋_GB2312" w:hAnsi="仿宋_GB2312" w:cs="仿宋_GB2312" w:hint="eastAsia"/>
          <w:sz w:val="30"/>
          <w:szCs w:val="30"/>
        </w:rPr>
        <w:t>表</w:t>
      </w:r>
      <w:r w:rsidR="0053713D">
        <w:rPr>
          <w:rFonts w:ascii="仿宋_GB2312" w:eastAsia="仿宋_GB2312" w:hAnsi="仿宋_GB2312" w:cs="仿宋_GB2312" w:hint="eastAsia"/>
          <w:sz w:val="30"/>
          <w:szCs w:val="30"/>
        </w:rPr>
        <w:t>1</w:t>
      </w:r>
      <w:r w:rsidR="00812416" w:rsidRPr="0053713D">
        <w:rPr>
          <w:rFonts w:ascii="仿宋_GB2312" w:eastAsia="仿宋_GB2312" w:hAnsi="仿宋_GB2312" w:cs="仿宋_GB2312" w:hint="eastAsia"/>
          <w:sz w:val="30"/>
          <w:szCs w:val="30"/>
        </w:rPr>
        <w:t>。</w:t>
      </w:r>
    </w:p>
    <w:p w:rsidR="00812416" w:rsidRPr="0053713D" w:rsidRDefault="00812416" w:rsidP="0053713D">
      <w:pPr>
        <w:adjustRightInd w:val="0"/>
        <w:snapToGrid w:val="0"/>
        <w:spacing w:beforeLines="100" w:before="240" w:afterLines="50" w:after="120"/>
        <w:jc w:val="center"/>
        <w:rPr>
          <w:rFonts w:ascii="黑体" w:eastAsia="黑体" w:hAnsi="黑体" w:cs="黑体" w:hint="eastAsia"/>
          <w:sz w:val="30"/>
          <w:szCs w:val="30"/>
        </w:rPr>
      </w:pPr>
      <w:r w:rsidRPr="0053713D">
        <w:rPr>
          <w:rFonts w:ascii="黑体" w:eastAsia="黑体" w:hAnsi="黑体" w:cs="黑体" w:hint="eastAsia"/>
          <w:sz w:val="30"/>
          <w:szCs w:val="30"/>
        </w:rPr>
        <w:t>表1</w:t>
      </w:r>
      <w:r w:rsidR="006E2E58" w:rsidRPr="0053713D">
        <w:rPr>
          <w:rFonts w:ascii="黑体" w:eastAsia="黑体" w:hAnsi="黑体" w:cs="黑体" w:hint="eastAsia"/>
          <w:sz w:val="30"/>
          <w:szCs w:val="30"/>
        </w:rPr>
        <w:t xml:space="preserve">  </w:t>
      </w:r>
      <w:r w:rsidR="008633E1">
        <w:rPr>
          <w:rFonts w:ascii="黑体" w:eastAsia="黑体" w:hAnsi="黑体" w:cs="黑体" w:hint="eastAsia"/>
          <w:sz w:val="30"/>
          <w:szCs w:val="30"/>
        </w:rPr>
        <w:t>待销毁烟花爆竹</w:t>
      </w:r>
      <w:r w:rsidRPr="0053713D">
        <w:rPr>
          <w:rFonts w:ascii="黑体" w:eastAsia="黑体" w:hAnsi="黑体" w:cs="黑体" w:hint="eastAsia"/>
          <w:sz w:val="30"/>
          <w:szCs w:val="30"/>
        </w:rPr>
        <w:t>分类</w:t>
      </w:r>
    </w:p>
    <w:tbl>
      <w:tblPr>
        <w:tblW w:w="4876" w:type="pct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6"/>
        <w:gridCol w:w="456"/>
        <w:gridCol w:w="2844"/>
        <w:gridCol w:w="1169"/>
        <w:gridCol w:w="1268"/>
        <w:gridCol w:w="1674"/>
        <w:gridCol w:w="1134"/>
      </w:tblGrid>
      <w:tr w:rsidR="0053713D" w:rsidRPr="00BF4554" w:rsidTr="008674B5">
        <w:trPr>
          <w:trHeight w:val="739"/>
          <w:jc w:val="center"/>
        </w:trPr>
        <w:tc>
          <w:tcPr>
            <w:tcW w:w="456" w:type="dxa"/>
            <w:vAlign w:val="center"/>
          </w:tcPr>
          <w:p w:rsidR="00812416" w:rsidRPr="00EB1E75" w:rsidRDefault="00812416" w:rsidP="00BF4554">
            <w:pPr>
              <w:spacing w:line="400" w:lineRule="exact"/>
              <w:jc w:val="center"/>
              <w:rPr>
                <w:rFonts w:ascii="仿宋_GB2312" w:eastAsia="仿宋_GB2312" w:hAnsi="仿宋_GB2312" w:cs="仿宋_GB2312" w:hint="eastAsia"/>
                <w:sz w:val="24"/>
              </w:rPr>
            </w:pPr>
            <w:r w:rsidRPr="00EB1E75">
              <w:rPr>
                <w:rFonts w:ascii="仿宋_GB2312" w:eastAsia="仿宋_GB2312" w:hAnsi="仿宋_GB2312" w:cs="仿宋_GB2312" w:hint="eastAsia"/>
                <w:sz w:val="24"/>
              </w:rPr>
              <w:t>分类</w:t>
            </w:r>
          </w:p>
        </w:tc>
        <w:tc>
          <w:tcPr>
            <w:tcW w:w="456" w:type="dxa"/>
            <w:vAlign w:val="center"/>
          </w:tcPr>
          <w:p w:rsidR="00812416" w:rsidRPr="00EB1E75" w:rsidRDefault="00812416" w:rsidP="00BF4554">
            <w:pPr>
              <w:spacing w:line="400" w:lineRule="exact"/>
              <w:jc w:val="center"/>
              <w:rPr>
                <w:rFonts w:ascii="仿宋_GB2312" w:eastAsia="仿宋_GB2312" w:hAnsi="仿宋_GB2312" w:cs="仿宋_GB2312" w:hint="eastAsia"/>
                <w:sz w:val="24"/>
              </w:rPr>
            </w:pPr>
            <w:r w:rsidRPr="00EB1E75">
              <w:rPr>
                <w:rFonts w:ascii="仿宋_GB2312" w:eastAsia="仿宋_GB2312" w:hAnsi="仿宋_GB2312" w:cs="仿宋_GB2312" w:hint="eastAsia"/>
                <w:sz w:val="24"/>
              </w:rPr>
              <w:t>序号</w:t>
            </w:r>
          </w:p>
        </w:tc>
        <w:tc>
          <w:tcPr>
            <w:tcW w:w="2844" w:type="dxa"/>
            <w:vAlign w:val="center"/>
          </w:tcPr>
          <w:p w:rsidR="00812416" w:rsidRPr="00EB1E75" w:rsidRDefault="008633E1" w:rsidP="00BF4554">
            <w:pPr>
              <w:spacing w:line="400" w:lineRule="exact"/>
              <w:jc w:val="center"/>
              <w:rPr>
                <w:rFonts w:ascii="仿宋_GB2312" w:eastAsia="仿宋_GB2312" w:hAnsi="仿宋_GB2312" w:cs="仿宋_GB2312" w:hint="eastAsia"/>
                <w:sz w:val="24"/>
              </w:rPr>
            </w:pPr>
            <w:r w:rsidRPr="00EB1E75">
              <w:rPr>
                <w:rFonts w:ascii="仿宋_GB2312" w:eastAsia="仿宋_GB2312" w:hAnsi="仿宋_GB2312" w:cs="仿宋_GB2312" w:hint="eastAsia"/>
                <w:sz w:val="24"/>
              </w:rPr>
              <w:t>待销毁烟花爆竹</w:t>
            </w:r>
            <w:r w:rsidR="00812416" w:rsidRPr="00EB1E75">
              <w:rPr>
                <w:rFonts w:ascii="仿宋_GB2312" w:eastAsia="仿宋_GB2312" w:hAnsi="仿宋_GB2312" w:cs="仿宋_GB2312" w:hint="eastAsia"/>
                <w:sz w:val="24"/>
              </w:rPr>
              <w:t>种类</w:t>
            </w:r>
          </w:p>
        </w:tc>
        <w:tc>
          <w:tcPr>
            <w:tcW w:w="1169" w:type="dxa"/>
            <w:vAlign w:val="center"/>
          </w:tcPr>
          <w:p w:rsidR="00812416" w:rsidRPr="00EB1E75" w:rsidRDefault="00812416" w:rsidP="00BF4554">
            <w:pPr>
              <w:spacing w:line="400" w:lineRule="exact"/>
              <w:jc w:val="center"/>
              <w:rPr>
                <w:rFonts w:ascii="仿宋_GB2312" w:eastAsia="仿宋_GB2312" w:hAnsi="仿宋_GB2312" w:cs="仿宋_GB2312" w:hint="eastAsia"/>
                <w:sz w:val="24"/>
              </w:rPr>
            </w:pPr>
            <w:r w:rsidRPr="00EB1E75">
              <w:rPr>
                <w:rFonts w:ascii="仿宋_GB2312" w:eastAsia="仿宋_GB2312" w:hAnsi="仿宋_GB2312" w:cs="仿宋_GB2312" w:hint="eastAsia"/>
                <w:sz w:val="24"/>
              </w:rPr>
              <w:t>销毁</w:t>
            </w:r>
            <w:r w:rsidR="003945BD" w:rsidRPr="00EB1E75">
              <w:rPr>
                <w:rFonts w:ascii="仿宋_GB2312" w:eastAsia="仿宋_GB2312" w:hAnsi="仿宋_GB2312" w:cs="仿宋_GB2312"/>
                <w:sz w:val="24"/>
              </w:rPr>
              <w:br/>
            </w:r>
            <w:r w:rsidRPr="00EB1E75">
              <w:rPr>
                <w:rFonts w:ascii="仿宋_GB2312" w:eastAsia="仿宋_GB2312" w:hAnsi="仿宋_GB2312" w:cs="仿宋_GB2312" w:hint="eastAsia"/>
                <w:sz w:val="24"/>
              </w:rPr>
              <w:t>方法</w:t>
            </w:r>
          </w:p>
        </w:tc>
        <w:tc>
          <w:tcPr>
            <w:tcW w:w="1268" w:type="dxa"/>
            <w:vAlign w:val="center"/>
          </w:tcPr>
          <w:p w:rsidR="00812416" w:rsidRPr="00EB1E75" w:rsidRDefault="00812416" w:rsidP="002B3EE9">
            <w:pPr>
              <w:spacing w:line="400" w:lineRule="exact"/>
              <w:jc w:val="center"/>
              <w:rPr>
                <w:rFonts w:ascii="仿宋_GB2312" w:eastAsia="仿宋_GB2312" w:hAnsi="仿宋_GB2312" w:cs="仿宋_GB2312" w:hint="eastAsia"/>
                <w:sz w:val="24"/>
              </w:rPr>
            </w:pPr>
            <w:r w:rsidRPr="00EB1E75">
              <w:rPr>
                <w:rFonts w:ascii="仿宋_GB2312" w:eastAsia="仿宋_GB2312" w:hAnsi="仿宋_GB2312" w:cs="仿宋_GB2312" w:hint="eastAsia"/>
                <w:sz w:val="24"/>
              </w:rPr>
              <w:t>一次</w:t>
            </w:r>
            <w:r w:rsidR="002B3EE9" w:rsidRPr="00EB1E75">
              <w:rPr>
                <w:rFonts w:ascii="仿宋_GB2312" w:eastAsia="仿宋_GB2312" w:hAnsi="仿宋_GB2312" w:cs="仿宋_GB2312" w:hint="eastAsia"/>
                <w:sz w:val="24"/>
              </w:rPr>
              <w:t>销毁</w:t>
            </w:r>
            <w:r w:rsidRPr="00EB1E75">
              <w:rPr>
                <w:rFonts w:ascii="仿宋_GB2312" w:eastAsia="仿宋_GB2312" w:hAnsi="仿宋_GB2312" w:cs="仿宋_GB2312" w:hint="eastAsia"/>
                <w:sz w:val="24"/>
              </w:rPr>
              <w:t>最大</w:t>
            </w:r>
            <w:r w:rsidR="002B3EE9" w:rsidRPr="00EB1E75">
              <w:rPr>
                <w:rFonts w:ascii="仿宋_GB2312" w:eastAsia="仿宋_GB2312" w:hAnsi="仿宋_GB2312" w:cs="仿宋_GB2312" w:hint="eastAsia"/>
                <w:sz w:val="24"/>
              </w:rPr>
              <w:t>药</w:t>
            </w:r>
            <w:r w:rsidRPr="00EB1E75">
              <w:rPr>
                <w:rFonts w:ascii="仿宋_GB2312" w:eastAsia="仿宋_GB2312" w:hAnsi="仿宋_GB2312" w:cs="仿宋_GB2312" w:hint="eastAsia"/>
                <w:sz w:val="24"/>
              </w:rPr>
              <w:t>量(</w:t>
            </w:r>
            <w:r w:rsidR="00FD6DAB" w:rsidRPr="00EB1E75">
              <w:rPr>
                <w:rFonts w:ascii="仿宋_GB2312" w:eastAsia="仿宋_GB2312" w:hAnsi="仿宋_GB2312" w:cs="仿宋_GB2312" w:hint="eastAsia"/>
                <w:sz w:val="24"/>
              </w:rPr>
              <w:t>公斤</w:t>
            </w:r>
            <w:r w:rsidRPr="00EB1E75">
              <w:rPr>
                <w:rFonts w:ascii="仿宋_GB2312" w:eastAsia="仿宋_GB2312" w:hAnsi="仿宋_GB2312" w:cs="仿宋_GB2312" w:hint="eastAsia"/>
                <w:sz w:val="24"/>
              </w:rPr>
              <w:t>)</w:t>
            </w:r>
          </w:p>
        </w:tc>
        <w:tc>
          <w:tcPr>
            <w:tcW w:w="1674" w:type="dxa"/>
            <w:vAlign w:val="center"/>
          </w:tcPr>
          <w:p w:rsidR="00812416" w:rsidRPr="00EB1E75" w:rsidRDefault="00812416" w:rsidP="00BF4554">
            <w:pPr>
              <w:spacing w:line="400" w:lineRule="exact"/>
              <w:jc w:val="center"/>
              <w:rPr>
                <w:rFonts w:ascii="仿宋_GB2312" w:eastAsia="仿宋_GB2312" w:hAnsi="仿宋_GB2312" w:cs="仿宋_GB2312" w:hint="eastAsia"/>
                <w:sz w:val="24"/>
              </w:rPr>
            </w:pPr>
            <w:r w:rsidRPr="00EB1E75">
              <w:rPr>
                <w:rFonts w:ascii="仿宋_GB2312" w:eastAsia="仿宋_GB2312" w:hAnsi="仿宋_GB2312" w:cs="仿宋_GB2312" w:hint="eastAsia"/>
                <w:sz w:val="24"/>
              </w:rPr>
              <w:t>铺设</w:t>
            </w:r>
            <w:r w:rsidR="002B3EE9" w:rsidRPr="00EB1E75">
              <w:rPr>
                <w:rFonts w:ascii="仿宋_GB2312" w:eastAsia="仿宋_GB2312" w:hAnsi="仿宋_GB2312" w:cs="仿宋_GB2312" w:hint="eastAsia"/>
                <w:sz w:val="24"/>
              </w:rPr>
              <w:t>最</w:t>
            </w:r>
            <w:r w:rsidR="00EB1E75" w:rsidRPr="00EB1E75">
              <w:rPr>
                <w:rFonts w:ascii="仿宋_GB2312" w:eastAsia="仿宋_GB2312" w:hAnsi="仿宋_GB2312" w:cs="仿宋_GB2312"/>
                <w:sz w:val="24"/>
              </w:rPr>
              <w:br/>
            </w:r>
            <w:r w:rsidR="002B3EE9" w:rsidRPr="00EB1E75">
              <w:rPr>
                <w:rFonts w:ascii="仿宋_GB2312" w:eastAsia="仿宋_GB2312" w:hAnsi="仿宋_GB2312" w:cs="仿宋_GB2312" w:hint="eastAsia"/>
                <w:sz w:val="24"/>
              </w:rPr>
              <w:t>大</w:t>
            </w:r>
            <w:r w:rsidRPr="00EB1E75">
              <w:rPr>
                <w:rFonts w:ascii="仿宋_GB2312" w:eastAsia="仿宋_GB2312" w:hAnsi="仿宋_GB2312" w:cs="仿宋_GB2312" w:hint="eastAsia"/>
                <w:sz w:val="24"/>
              </w:rPr>
              <w:t>厚度</w:t>
            </w:r>
            <w:r w:rsidR="00FD6DAB" w:rsidRPr="00EB1E75">
              <w:rPr>
                <w:rFonts w:ascii="仿宋_GB2312" w:eastAsia="仿宋_GB2312" w:hAnsi="仿宋_GB2312" w:cs="仿宋_GB2312"/>
                <w:sz w:val="24"/>
              </w:rPr>
              <w:br/>
            </w:r>
            <w:r w:rsidRPr="00EB1E75">
              <w:rPr>
                <w:rFonts w:ascii="仿宋_GB2312" w:eastAsia="仿宋_GB2312" w:hAnsi="仿宋_GB2312" w:cs="仿宋_GB2312" w:hint="eastAsia"/>
                <w:sz w:val="24"/>
              </w:rPr>
              <w:t>（</w:t>
            </w:r>
            <w:r w:rsidR="00FD6DAB" w:rsidRPr="00EB1E75">
              <w:rPr>
                <w:rFonts w:ascii="仿宋_GB2312" w:eastAsia="仿宋_GB2312" w:hAnsi="仿宋_GB2312" w:cs="仿宋_GB2312" w:hint="eastAsia"/>
                <w:sz w:val="24"/>
              </w:rPr>
              <w:t>厘米</w:t>
            </w:r>
            <w:r w:rsidRPr="00EB1E75">
              <w:rPr>
                <w:rFonts w:ascii="仿宋_GB2312" w:eastAsia="仿宋_GB2312" w:hAnsi="仿宋_GB2312" w:cs="仿宋_GB2312" w:hint="eastAsia"/>
                <w:sz w:val="24"/>
              </w:rPr>
              <w:t>）</w:t>
            </w:r>
          </w:p>
        </w:tc>
        <w:tc>
          <w:tcPr>
            <w:tcW w:w="1134" w:type="dxa"/>
            <w:vAlign w:val="center"/>
          </w:tcPr>
          <w:p w:rsidR="00812416" w:rsidRPr="00EB1E75" w:rsidRDefault="00812416" w:rsidP="002B3EE9">
            <w:pPr>
              <w:spacing w:line="400" w:lineRule="exact"/>
              <w:jc w:val="center"/>
              <w:rPr>
                <w:rFonts w:ascii="仿宋_GB2312" w:eastAsia="仿宋_GB2312" w:hAnsi="仿宋_GB2312" w:cs="仿宋_GB2312" w:hint="eastAsia"/>
                <w:sz w:val="24"/>
              </w:rPr>
            </w:pPr>
            <w:r w:rsidRPr="00EB1E75">
              <w:rPr>
                <w:rFonts w:ascii="仿宋_GB2312" w:eastAsia="仿宋_GB2312" w:hAnsi="仿宋_GB2312" w:cs="仿宋_GB2312" w:hint="eastAsia"/>
                <w:sz w:val="24"/>
              </w:rPr>
              <w:t>铺设</w:t>
            </w:r>
            <w:r w:rsidR="002B3EE9" w:rsidRPr="00EB1E75">
              <w:rPr>
                <w:rFonts w:ascii="仿宋_GB2312" w:eastAsia="仿宋_GB2312" w:hAnsi="仿宋_GB2312" w:cs="仿宋_GB2312" w:hint="eastAsia"/>
                <w:sz w:val="24"/>
              </w:rPr>
              <w:t>最大</w:t>
            </w:r>
            <w:r w:rsidRPr="00EB1E75">
              <w:rPr>
                <w:rFonts w:ascii="仿宋_GB2312" w:eastAsia="仿宋_GB2312" w:hAnsi="仿宋_GB2312" w:cs="仿宋_GB2312" w:hint="eastAsia"/>
                <w:sz w:val="24"/>
              </w:rPr>
              <w:t>宽度</w:t>
            </w:r>
            <w:r w:rsidR="003945BD" w:rsidRPr="00EB1E75">
              <w:rPr>
                <w:rFonts w:ascii="仿宋_GB2312" w:eastAsia="仿宋_GB2312" w:hAnsi="仿宋_GB2312" w:cs="仿宋_GB2312"/>
                <w:sz w:val="24"/>
              </w:rPr>
              <w:br/>
            </w:r>
            <w:r w:rsidRPr="00EB1E75">
              <w:rPr>
                <w:rFonts w:ascii="仿宋_GB2312" w:eastAsia="仿宋_GB2312" w:hAnsi="仿宋_GB2312" w:cs="仿宋_GB2312" w:hint="eastAsia"/>
                <w:sz w:val="24"/>
              </w:rPr>
              <w:t>（</w:t>
            </w:r>
            <w:r w:rsidR="00FD6DAB" w:rsidRPr="00EB1E75">
              <w:rPr>
                <w:rFonts w:ascii="仿宋_GB2312" w:eastAsia="仿宋_GB2312" w:hAnsi="仿宋_GB2312" w:cs="仿宋_GB2312" w:hint="eastAsia"/>
                <w:sz w:val="24"/>
              </w:rPr>
              <w:t>厘米</w:t>
            </w:r>
            <w:r w:rsidRPr="00EB1E75">
              <w:rPr>
                <w:rFonts w:ascii="仿宋_GB2312" w:eastAsia="仿宋_GB2312" w:hAnsi="仿宋_GB2312" w:cs="仿宋_GB2312" w:hint="eastAsia"/>
                <w:sz w:val="24"/>
              </w:rPr>
              <w:t>）</w:t>
            </w:r>
          </w:p>
        </w:tc>
      </w:tr>
      <w:tr w:rsidR="00961FDF" w:rsidRPr="00BF4554" w:rsidTr="008674B5">
        <w:trPr>
          <w:trHeight w:val="567"/>
          <w:jc w:val="center"/>
        </w:trPr>
        <w:tc>
          <w:tcPr>
            <w:tcW w:w="456" w:type="dxa"/>
            <w:vMerge w:val="restart"/>
            <w:shd w:val="clear" w:color="auto" w:fill="auto"/>
            <w:vAlign w:val="center"/>
          </w:tcPr>
          <w:p w:rsidR="00961FDF" w:rsidRPr="00EB1E75" w:rsidRDefault="00961FDF" w:rsidP="00BF4554">
            <w:pPr>
              <w:spacing w:line="400" w:lineRule="exact"/>
              <w:jc w:val="center"/>
              <w:rPr>
                <w:rFonts w:ascii="仿宋_GB2312" w:eastAsia="仿宋_GB2312" w:hAnsi="仿宋_GB2312" w:cs="仿宋_GB2312" w:hint="eastAsia"/>
                <w:sz w:val="24"/>
              </w:rPr>
            </w:pPr>
            <w:r w:rsidRPr="00EB1E75">
              <w:rPr>
                <w:rFonts w:ascii="仿宋_GB2312" w:eastAsia="仿宋_GB2312" w:hAnsi="仿宋_GB2312" w:cs="仿宋_GB2312" w:hint="eastAsia"/>
                <w:sz w:val="24"/>
              </w:rPr>
              <w:t>Ⅰ</w:t>
            </w:r>
          </w:p>
          <w:p w:rsidR="00961FDF" w:rsidRPr="00EB1E75" w:rsidRDefault="00961FDF" w:rsidP="00BF4554">
            <w:pPr>
              <w:spacing w:line="400" w:lineRule="exact"/>
              <w:jc w:val="center"/>
              <w:rPr>
                <w:rFonts w:ascii="仿宋_GB2312" w:eastAsia="仿宋_GB2312" w:hAnsi="仿宋_GB2312" w:cs="仿宋_GB2312" w:hint="eastAsia"/>
                <w:sz w:val="24"/>
              </w:rPr>
            </w:pPr>
          </w:p>
          <w:p w:rsidR="00961FDF" w:rsidRPr="00EB1E75" w:rsidRDefault="00961FDF" w:rsidP="00BF4554">
            <w:pPr>
              <w:spacing w:line="400" w:lineRule="exact"/>
              <w:jc w:val="center"/>
              <w:rPr>
                <w:rFonts w:ascii="仿宋_GB2312" w:eastAsia="仿宋_GB2312" w:hAnsi="仿宋_GB2312" w:cs="仿宋_GB2312" w:hint="eastAsia"/>
                <w:sz w:val="24"/>
              </w:rPr>
            </w:pPr>
          </w:p>
          <w:p w:rsidR="00961FDF" w:rsidRPr="00EB1E75" w:rsidRDefault="00961FDF" w:rsidP="00BF4554">
            <w:pPr>
              <w:spacing w:line="400" w:lineRule="exact"/>
              <w:jc w:val="center"/>
              <w:rPr>
                <w:rFonts w:ascii="仿宋_GB2312" w:eastAsia="仿宋_GB2312" w:hAnsi="仿宋_GB2312" w:cs="仿宋_GB2312" w:hint="eastAsia"/>
                <w:sz w:val="24"/>
              </w:rPr>
            </w:pPr>
            <w:r w:rsidRPr="00EB1E75">
              <w:rPr>
                <w:rFonts w:ascii="仿宋_GB2312" w:eastAsia="仿宋_GB2312" w:hAnsi="仿宋_GB2312" w:cs="仿宋_GB2312" w:hint="eastAsia"/>
                <w:sz w:val="24"/>
              </w:rPr>
              <w:t>类</w:t>
            </w:r>
          </w:p>
        </w:tc>
        <w:tc>
          <w:tcPr>
            <w:tcW w:w="456" w:type="dxa"/>
            <w:vMerge w:val="restart"/>
            <w:vAlign w:val="center"/>
          </w:tcPr>
          <w:p w:rsidR="00961FDF" w:rsidRPr="00EB1E75" w:rsidRDefault="00961FDF" w:rsidP="00BF4554">
            <w:pPr>
              <w:spacing w:line="400" w:lineRule="exact"/>
              <w:jc w:val="center"/>
              <w:rPr>
                <w:rFonts w:ascii="仿宋_GB2312" w:eastAsia="仿宋_GB2312" w:hAnsi="仿宋_GB2312" w:cs="仿宋_GB2312" w:hint="eastAsia"/>
                <w:sz w:val="24"/>
              </w:rPr>
            </w:pPr>
            <w:r w:rsidRPr="00EB1E75">
              <w:rPr>
                <w:rFonts w:ascii="仿宋_GB2312" w:eastAsia="仿宋_GB2312" w:hAnsi="仿宋_GB2312" w:cs="仿宋_GB2312" w:hint="eastAsia"/>
                <w:sz w:val="24"/>
              </w:rPr>
              <w:t>1</w:t>
            </w:r>
          </w:p>
        </w:tc>
        <w:tc>
          <w:tcPr>
            <w:tcW w:w="2844" w:type="dxa"/>
            <w:vMerge w:val="restart"/>
            <w:vAlign w:val="center"/>
          </w:tcPr>
          <w:p w:rsidR="00961FDF" w:rsidRPr="00EB1E75" w:rsidRDefault="00961FDF" w:rsidP="00514DB4">
            <w:pPr>
              <w:spacing w:line="400" w:lineRule="exact"/>
              <w:jc w:val="center"/>
              <w:rPr>
                <w:rFonts w:ascii="仿宋_GB2312" w:eastAsia="仿宋_GB2312" w:hAnsi="仿宋_GB2312" w:cs="仿宋_GB2312" w:hint="eastAsia"/>
                <w:sz w:val="24"/>
              </w:rPr>
            </w:pPr>
            <w:r w:rsidRPr="00EB1E75">
              <w:rPr>
                <w:rFonts w:ascii="仿宋_GB2312" w:eastAsia="仿宋_GB2312" w:hAnsi="仿宋_GB2312" w:cs="仿宋_GB2312" w:hint="eastAsia"/>
                <w:sz w:val="24"/>
              </w:rPr>
              <w:t>A、B级成品（礼花弹类、架子烟花、喷花类除外）</w:t>
            </w:r>
          </w:p>
        </w:tc>
        <w:tc>
          <w:tcPr>
            <w:tcW w:w="1169" w:type="dxa"/>
            <w:vAlign w:val="center"/>
          </w:tcPr>
          <w:p w:rsidR="00961FDF" w:rsidRPr="00EB1E75" w:rsidRDefault="00961FDF" w:rsidP="00BF4554">
            <w:pPr>
              <w:spacing w:line="400" w:lineRule="exact"/>
              <w:jc w:val="center"/>
              <w:rPr>
                <w:rFonts w:ascii="仿宋_GB2312" w:eastAsia="仿宋_GB2312" w:hAnsi="仿宋_GB2312" w:cs="仿宋_GB2312" w:hint="eastAsia"/>
                <w:sz w:val="24"/>
              </w:rPr>
            </w:pPr>
            <w:r w:rsidRPr="00EB1E75">
              <w:rPr>
                <w:rFonts w:ascii="仿宋_GB2312" w:eastAsia="仿宋_GB2312" w:hAnsi="仿宋_GB2312" w:cs="仿宋_GB2312" w:hint="eastAsia"/>
                <w:sz w:val="24"/>
              </w:rPr>
              <w:t xml:space="preserve">燃放法(优先) </w:t>
            </w:r>
          </w:p>
        </w:tc>
        <w:tc>
          <w:tcPr>
            <w:tcW w:w="1268" w:type="dxa"/>
            <w:vAlign w:val="center"/>
          </w:tcPr>
          <w:p w:rsidR="00961FDF" w:rsidRPr="00EB1E75" w:rsidRDefault="00961FDF" w:rsidP="00BF4554">
            <w:pPr>
              <w:spacing w:line="400" w:lineRule="exact"/>
              <w:jc w:val="center"/>
              <w:rPr>
                <w:rFonts w:ascii="仿宋_GB2312" w:eastAsia="仿宋_GB2312" w:hAnsi="仿宋_GB2312" w:cs="仿宋_GB2312" w:hint="eastAsia"/>
                <w:sz w:val="24"/>
              </w:rPr>
            </w:pPr>
            <w:r w:rsidRPr="00EB1E75">
              <w:rPr>
                <w:rFonts w:ascii="仿宋_GB2312" w:eastAsia="仿宋_GB2312" w:hAnsi="仿宋_GB2312" w:cs="仿宋_GB2312" w:hint="eastAsia"/>
                <w:sz w:val="24"/>
              </w:rPr>
              <w:t>500</w:t>
            </w:r>
          </w:p>
        </w:tc>
        <w:tc>
          <w:tcPr>
            <w:tcW w:w="1674" w:type="dxa"/>
            <w:vAlign w:val="center"/>
          </w:tcPr>
          <w:p w:rsidR="00961FDF" w:rsidRPr="00EB1E75" w:rsidRDefault="00961FDF" w:rsidP="00BF4554">
            <w:pPr>
              <w:spacing w:line="400" w:lineRule="exact"/>
              <w:jc w:val="center"/>
              <w:rPr>
                <w:rFonts w:ascii="仿宋_GB2312" w:eastAsia="仿宋_GB2312" w:hAnsi="仿宋_GB2312" w:cs="仿宋_GB2312" w:hint="eastAsia"/>
                <w:sz w:val="24"/>
              </w:rPr>
            </w:pPr>
          </w:p>
        </w:tc>
        <w:tc>
          <w:tcPr>
            <w:tcW w:w="1134" w:type="dxa"/>
            <w:vAlign w:val="center"/>
          </w:tcPr>
          <w:p w:rsidR="00961FDF" w:rsidRPr="00EB1E75" w:rsidRDefault="00961FDF" w:rsidP="00BF4554">
            <w:pPr>
              <w:spacing w:line="400" w:lineRule="exact"/>
              <w:jc w:val="center"/>
              <w:rPr>
                <w:rFonts w:ascii="仿宋_GB2312" w:eastAsia="仿宋_GB2312" w:hAnsi="仿宋_GB2312" w:cs="仿宋_GB2312" w:hint="eastAsia"/>
                <w:sz w:val="24"/>
              </w:rPr>
            </w:pPr>
          </w:p>
        </w:tc>
      </w:tr>
      <w:tr w:rsidR="00961FDF" w:rsidRPr="00BF4554" w:rsidTr="008674B5">
        <w:trPr>
          <w:trHeight w:val="567"/>
          <w:jc w:val="center"/>
        </w:trPr>
        <w:tc>
          <w:tcPr>
            <w:tcW w:w="456" w:type="dxa"/>
            <w:vMerge/>
            <w:shd w:val="clear" w:color="auto" w:fill="auto"/>
            <w:vAlign w:val="center"/>
          </w:tcPr>
          <w:p w:rsidR="00961FDF" w:rsidRPr="00EB1E75" w:rsidRDefault="00961FDF" w:rsidP="00BF4554">
            <w:pPr>
              <w:spacing w:line="400" w:lineRule="exact"/>
              <w:jc w:val="center"/>
              <w:rPr>
                <w:rFonts w:ascii="仿宋_GB2312" w:eastAsia="仿宋_GB2312" w:hAnsi="仿宋_GB2312" w:cs="仿宋_GB2312" w:hint="eastAsia"/>
                <w:sz w:val="24"/>
              </w:rPr>
            </w:pPr>
          </w:p>
        </w:tc>
        <w:tc>
          <w:tcPr>
            <w:tcW w:w="456" w:type="dxa"/>
            <w:vMerge/>
            <w:vAlign w:val="center"/>
          </w:tcPr>
          <w:p w:rsidR="00961FDF" w:rsidRPr="00EB1E75" w:rsidRDefault="00961FDF" w:rsidP="00BF4554">
            <w:pPr>
              <w:spacing w:line="400" w:lineRule="exact"/>
              <w:jc w:val="center"/>
              <w:rPr>
                <w:rFonts w:ascii="仿宋_GB2312" w:eastAsia="仿宋_GB2312" w:hAnsi="仿宋_GB2312" w:cs="仿宋_GB2312" w:hint="eastAsia"/>
                <w:sz w:val="24"/>
              </w:rPr>
            </w:pPr>
          </w:p>
        </w:tc>
        <w:tc>
          <w:tcPr>
            <w:tcW w:w="2844" w:type="dxa"/>
            <w:vMerge/>
            <w:vAlign w:val="center"/>
          </w:tcPr>
          <w:p w:rsidR="00961FDF" w:rsidRPr="00EB1E75" w:rsidRDefault="00961FDF" w:rsidP="00BF4554">
            <w:pPr>
              <w:spacing w:line="400" w:lineRule="exact"/>
              <w:jc w:val="center"/>
              <w:rPr>
                <w:rFonts w:ascii="仿宋_GB2312" w:eastAsia="仿宋_GB2312" w:hAnsi="仿宋_GB2312" w:cs="仿宋_GB2312" w:hint="eastAsia"/>
                <w:sz w:val="24"/>
              </w:rPr>
            </w:pPr>
          </w:p>
        </w:tc>
        <w:tc>
          <w:tcPr>
            <w:tcW w:w="1169" w:type="dxa"/>
            <w:vAlign w:val="center"/>
          </w:tcPr>
          <w:p w:rsidR="00961FDF" w:rsidRPr="00EB1E75" w:rsidRDefault="00961FDF" w:rsidP="00BF4554">
            <w:pPr>
              <w:spacing w:line="400" w:lineRule="exact"/>
              <w:jc w:val="center"/>
              <w:rPr>
                <w:rFonts w:ascii="仿宋_GB2312" w:eastAsia="仿宋_GB2312" w:hAnsi="仿宋_GB2312" w:cs="仿宋_GB2312" w:hint="eastAsia"/>
                <w:sz w:val="24"/>
              </w:rPr>
            </w:pPr>
            <w:r w:rsidRPr="00EB1E75">
              <w:rPr>
                <w:rFonts w:ascii="仿宋_GB2312" w:eastAsia="仿宋_GB2312" w:hAnsi="仿宋_GB2312" w:cs="仿宋_GB2312" w:hint="eastAsia"/>
                <w:sz w:val="24"/>
              </w:rPr>
              <w:t>户外焚烧法</w:t>
            </w:r>
          </w:p>
        </w:tc>
        <w:tc>
          <w:tcPr>
            <w:tcW w:w="1268" w:type="dxa"/>
            <w:vAlign w:val="center"/>
          </w:tcPr>
          <w:p w:rsidR="00961FDF" w:rsidRPr="00EB1E75" w:rsidRDefault="00961FDF" w:rsidP="00BF4554">
            <w:pPr>
              <w:spacing w:line="400" w:lineRule="exact"/>
              <w:jc w:val="center"/>
              <w:rPr>
                <w:rFonts w:ascii="仿宋_GB2312" w:eastAsia="仿宋_GB2312" w:hAnsi="仿宋_GB2312" w:cs="仿宋_GB2312" w:hint="eastAsia"/>
                <w:sz w:val="24"/>
              </w:rPr>
            </w:pPr>
            <w:r w:rsidRPr="00EB1E75">
              <w:rPr>
                <w:rFonts w:ascii="仿宋_GB2312" w:eastAsia="仿宋_GB2312" w:hAnsi="仿宋_GB2312" w:cs="仿宋_GB2312" w:hint="eastAsia"/>
                <w:sz w:val="24"/>
              </w:rPr>
              <w:t>500</w:t>
            </w:r>
          </w:p>
        </w:tc>
        <w:tc>
          <w:tcPr>
            <w:tcW w:w="1674" w:type="dxa"/>
            <w:vAlign w:val="center"/>
          </w:tcPr>
          <w:p w:rsidR="00961FDF" w:rsidRPr="00EB1E75" w:rsidRDefault="00961FDF" w:rsidP="00BF4554">
            <w:pPr>
              <w:spacing w:line="400" w:lineRule="exact"/>
              <w:jc w:val="center"/>
              <w:rPr>
                <w:rFonts w:ascii="仿宋_GB2312" w:eastAsia="仿宋_GB2312" w:hAnsi="仿宋_GB2312" w:cs="仿宋_GB2312" w:hint="eastAsia"/>
                <w:sz w:val="24"/>
              </w:rPr>
            </w:pPr>
            <w:r w:rsidRPr="00EB1E75">
              <w:rPr>
                <w:rFonts w:ascii="仿宋_GB2312" w:eastAsia="仿宋_GB2312" w:hAnsi="仿宋_GB2312" w:cs="仿宋_GB2312" w:hint="eastAsia"/>
                <w:sz w:val="24"/>
              </w:rPr>
              <w:t>10(高度或直径≥10厘米的产品为单个产品高度)</w:t>
            </w:r>
          </w:p>
        </w:tc>
        <w:tc>
          <w:tcPr>
            <w:tcW w:w="1134" w:type="dxa"/>
            <w:vAlign w:val="center"/>
          </w:tcPr>
          <w:p w:rsidR="00961FDF" w:rsidRPr="00EB1E75" w:rsidRDefault="00961FDF" w:rsidP="00BF4554">
            <w:pPr>
              <w:spacing w:line="400" w:lineRule="exact"/>
              <w:jc w:val="center"/>
              <w:rPr>
                <w:rFonts w:ascii="仿宋_GB2312" w:eastAsia="仿宋_GB2312" w:hAnsi="仿宋_GB2312" w:cs="仿宋_GB2312" w:hint="eastAsia"/>
                <w:sz w:val="24"/>
              </w:rPr>
            </w:pPr>
            <w:r w:rsidRPr="00EB1E75">
              <w:rPr>
                <w:rFonts w:ascii="仿宋_GB2312" w:eastAsia="仿宋_GB2312" w:hAnsi="仿宋_GB2312" w:cs="仿宋_GB2312" w:hint="eastAsia"/>
                <w:sz w:val="24"/>
              </w:rPr>
              <w:t>150</w:t>
            </w:r>
          </w:p>
        </w:tc>
      </w:tr>
      <w:tr w:rsidR="00961FDF" w:rsidRPr="00BF4554" w:rsidTr="008674B5">
        <w:trPr>
          <w:trHeight w:val="1624"/>
          <w:jc w:val="center"/>
        </w:trPr>
        <w:tc>
          <w:tcPr>
            <w:tcW w:w="456" w:type="dxa"/>
            <w:vMerge/>
            <w:shd w:val="clear" w:color="auto" w:fill="auto"/>
            <w:vAlign w:val="center"/>
          </w:tcPr>
          <w:p w:rsidR="00961FDF" w:rsidRPr="00EB1E75" w:rsidRDefault="00961FDF" w:rsidP="00BF4554">
            <w:pPr>
              <w:spacing w:line="400" w:lineRule="exact"/>
              <w:jc w:val="center"/>
              <w:rPr>
                <w:rFonts w:ascii="仿宋_GB2312" w:eastAsia="仿宋_GB2312" w:hAnsi="仿宋_GB2312" w:cs="仿宋_GB2312" w:hint="eastAsia"/>
                <w:sz w:val="24"/>
              </w:rPr>
            </w:pPr>
          </w:p>
        </w:tc>
        <w:tc>
          <w:tcPr>
            <w:tcW w:w="456" w:type="dxa"/>
            <w:vAlign w:val="center"/>
          </w:tcPr>
          <w:p w:rsidR="00961FDF" w:rsidRPr="00EB1E75" w:rsidRDefault="00961FDF" w:rsidP="00BF4554">
            <w:pPr>
              <w:spacing w:line="400" w:lineRule="exact"/>
              <w:jc w:val="center"/>
              <w:rPr>
                <w:rFonts w:ascii="仿宋_GB2312" w:eastAsia="仿宋_GB2312" w:hAnsi="仿宋_GB2312" w:cs="仿宋_GB2312" w:hint="eastAsia"/>
                <w:sz w:val="24"/>
              </w:rPr>
            </w:pPr>
            <w:r w:rsidRPr="00EB1E75">
              <w:rPr>
                <w:rFonts w:ascii="仿宋_GB2312" w:eastAsia="仿宋_GB2312" w:hAnsi="仿宋_GB2312" w:cs="仿宋_GB2312" w:hint="eastAsia"/>
                <w:sz w:val="24"/>
              </w:rPr>
              <w:t>2</w:t>
            </w:r>
          </w:p>
        </w:tc>
        <w:tc>
          <w:tcPr>
            <w:tcW w:w="2844" w:type="dxa"/>
            <w:vAlign w:val="center"/>
          </w:tcPr>
          <w:p w:rsidR="00961FDF" w:rsidRPr="00EB1E75" w:rsidRDefault="00961FDF" w:rsidP="00514DB4">
            <w:pPr>
              <w:spacing w:line="400" w:lineRule="exact"/>
              <w:jc w:val="center"/>
              <w:rPr>
                <w:rFonts w:ascii="仿宋_GB2312" w:eastAsia="仿宋_GB2312" w:hAnsi="仿宋_GB2312" w:cs="仿宋_GB2312" w:hint="eastAsia"/>
                <w:sz w:val="24"/>
              </w:rPr>
            </w:pPr>
            <w:r w:rsidRPr="00EB1E75">
              <w:rPr>
                <w:rFonts w:ascii="仿宋_GB2312" w:eastAsia="仿宋_GB2312" w:hAnsi="仿宋_GB2312" w:cs="仿宋_GB2312" w:hint="eastAsia"/>
                <w:sz w:val="24"/>
              </w:rPr>
              <w:t>未封口含药半成品；单个装药量在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40"/>
                <w:attr w:name="UnitName" w:val="克"/>
              </w:smartTagPr>
              <w:r w:rsidRPr="00EB1E75">
                <w:rPr>
                  <w:rFonts w:ascii="仿宋_GB2312" w:eastAsia="仿宋_GB2312" w:hAnsi="仿宋_GB2312" w:cs="仿宋_GB2312" w:hint="eastAsia"/>
                  <w:sz w:val="24"/>
                </w:rPr>
                <w:t>40克</w:t>
              </w:r>
            </w:smartTag>
            <w:r w:rsidRPr="00EB1E75">
              <w:rPr>
                <w:rFonts w:ascii="仿宋_GB2312" w:eastAsia="仿宋_GB2312" w:hAnsi="仿宋_GB2312" w:cs="仿宋_GB2312" w:hint="eastAsia"/>
                <w:sz w:val="24"/>
              </w:rPr>
              <w:t>及以上已封口烟花半成品；含笛音剂、爆炸音剂半成品</w:t>
            </w:r>
          </w:p>
        </w:tc>
        <w:tc>
          <w:tcPr>
            <w:tcW w:w="1169" w:type="dxa"/>
            <w:vAlign w:val="center"/>
          </w:tcPr>
          <w:p w:rsidR="00961FDF" w:rsidRPr="00EB1E75" w:rsidRDefault="00961FDF" w:rsidP="00BF4554">
            <w:pPr>
              <w:spacing w:line="400" w:lineRule="exact"/>
              <w:jc w:val="center"/>
              <w:rPr>
                <w:rFonts w:ascii="仿宋_GB2312" w:eastAsia="仿宋_GB2312" w:hAnsi="仿宋_GB2312" w:cs="仿宋_GB2312" w:hint="eastAsia"/>
                <w:sz w:val="24"/>
              </w:rPr>
            </w:pPr>
            <w:r w:rsidRPr="00EB1E75">
              <w:rPr>
                <w:rFonts w:ascii="仿宋_GB2312" w:eastAsia="仿宋_GB2312" w:hAnsi="仿宋_GB2312" w:cs="仿宋_GB2312" w:hint="eastAsia"/>
                <w:sz w:val="24"/>
              </w:rPr>
              <w:t>户外焚烧法</w:t>
            </w:r>
          </w:p>
        </w:tc>
        <w:tc>
          <w:tcPr>
            <w:tcW w:w="1268" w:type="dxa"/>
            <w:vAlign w:val="center"/>
          </w:tcPr>
          <w:p w:rsidR="00961FDF" w:rsidRPr="00EB1E75" w:rsidRDefault="00961FDF" w:rsidP="00BF4554">
            <w:pPr>
              <w:spacing w:line="400" w:lineRule="exact"/>
              <w:jc w:val="center"/>
              <w:rPr>
                <w:rFonts w:ascii="仿宋_GB2312" w:eastAsia="仿宋_GB2312" w:hAnsi="仿宋_GB2312" w:cs="仿宋_GB2312" w:hint="eastAsia"/>
                <w:sz w:val="24"/>
              </w:rPr>
            </w:pPr>
            <w:r w:rsidRPr="00EB1E75">
              <w:rPr>
                <w:rFonts w:ascii="仿宋_GB2312" w:eastAsia="仿宋_GB2312" w:hAnsi="仿宋_GB2312" w:cs="仿宋_GB2312" w:hint="eastAsia"/>
                <w:sz w:val="24"/>
              </w:rPr>
              <w:t>500</w:t>
            </w:r>
          </w:p>
        </w:tc>
        <w:tc>
          <w:tcPr>
            <w:tcW w:w="1674" w:type="dxa"/>
            <w:vAlign w:val="center"/>
          </w:tcPr>
          <w:p w:rsidR="00961FDF" w:rsidRPr="00EB1E75" w:rsidRDefault="00961FDF" w:rsidP="00BF4554">
            <w:pPr>
              <w:spacing w:line="400" w:lineRule="exact"/>
              <w:jc w:val="center"/>
              <w:rPr>
                <w:rFonts w:ascii="仿宋_GB2312" w:eastAsia="仿宋_GB2312" w:hAnsi="仿宋_GB2312" w:cs="仿宋_GB2312" w:hint="eastAsia"/>
                <w:sz w:val="24"/>
              </w:rPr>
            </w:pPr>
            <w:r w:rsidRPr="00EB1E75">
              <w:rPr>
                <w:rFonts w:ascii="仿宋_GB2312" w:eastAsia="仿宋_GB2312" w:hAnsi="仿宋_GB2312" w:cs="仿宋_GB2312" w:hint="eastAsia"/>
                <w:sz w:val="24"/>
              </w:rPr>
              <w:t>10</w:t>
            </w:r>
          </w:p>
        </w:tc>
        <w:tc>
          <w:tcPr>
            <w:tcW w:w="1134" w:type="dxa"/>
            <w:vAlign w:val="center"/>
          </w:tcPr>
          <w:p w:rsidR="00961FDF" w:rsidRPr="00EB1E75" w:rsidRDefault="00961FDF" w:rsidP="00BF4554">
            <w:pPr>
              <w:spacing w:line="400" w:lineRule="exact"/>
              <w:jc w:val="center"/>
              <w:rPr>
                <w:rFonts w:ascii="仿宋_GB2312" w:eastAsia="仿宋_GB2312" w:hAnsi="仿宋_GB2312" w:cs="仿宋_GB2312" w:hint="eastAsia"/>
                <w:sz w:val="24"/>
              </w:rPr>
            </w:pPr>
            <w:r w:rsidRPr="00EB1E75">
              <w:rPr>
                <w:rFonts w:ascii="仿宋_GB2312" w:eastAsia="仿宋_GB2312" w:hAnsi="仿宋_GB2312" w:cs="仿宋_GB2312" w:hint="eastAsia"/>
                <w:sz w:val="24"/>
              </w:rPr>
              <w:t>150</w:t>
            </w:r>
          </w:p>
        </w:tc>
      </w:tr>
    </w:tbl>
    <w:p w:rsidR="003B21F0" w:rsidRPr="003B21F0" w:rsidRDefault="003B21F0" w:rsidP="003B21F0">
      <w:pPr>
        <w:wordWrap w:val="0"/>
        <w:adjustRightInd w:val="0"/>
        <w:snapToGrid w:val="0"/>
        <w:spacing w:beforeLines="100" w:before="240" w:afterLines="50" w:after="120"/>
        <w:jc w:val="right"/>
        <w:rPr>
          <w:rFonts w:ascii="黑体" w:eastAsia="黑体" w:hAnsi="黑体" w:cs="黑体" w:hint="eastAsia"/>
          <w:sz w:val="24"/>
        </w:rPr>
      </w:pPr>
      <w:r w:rsidRPr="003B21F0">
        <w:rPr>
          <w:rFonts w:ascii="黑体" w:eastAsia="黑体" w:hAnsi="黑体" w:cs="黑体" w:hint="eastAsia"/>
          <w:sz w:val="24"/>
        </w:rPr>
        <w:lastRenderedPageBreak/>
        <w:t>续表</w:t>
      </w:r>
      <w:r>
        <w:rPr>
          <w:rFonts w:ascii="黑体" w:eastAsia="黑体" w:hAnsi="黑体" w:cs="黑体" w:hint="eastAsia"/>
          <w:sz w:val="24"/>
        </w:rPr>
        <w:t xml:space="preserve"> </w:t>
      </w:r>
    </w:p>
    <w:tbl>
      <w:tblPr>
        <w:tblW w:w="4876" w:type="pct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6"/>
        <w:gridCol w:w="456"/>
        <w:gridCol w:w="2844"/>
        <w:gridCol w:w="1169"/>
        <w:gridCol w:w="1268"/>
        <w:gridCol w:w="1674"/>
        <w:gridCol w:w="1134"/>
      </w:tblGrid>
      <w:tr w:rsidR="003B21F0" w:rsidRPr="00BF4554" w:rsidTr="000B4B65">
        <w:trPr>
          <w:trHeight w:val="739"/>
          <w:jc w:val="center"/>
        </w:trPr>
        <w:tc>
          <w:tcPr>
            <w:tcW w:w="456" w:type="dxa"/>
            <w:vAlign w:val="center"/>
          </w:tcPr>
          <w:p w:rsidR="003B21F0" w:rsidRPr="00EB1E75" w:rsidRDefault="003B21F0" w:rsidP="000B4B65">
            <w:pPr>
              <w:spacing w:line="400" w:lineRule="exact"/>
              <w:jc w:val="center"/>
              <w:rPr>
                <w:rFonts w:ascii="仿宋_GB2312" w:eastAsia="仿宋_GB2312" w:hAnsi="仿宋_GB2312" w:cs="仿宋_GB2312" w:hint="eastAsia"/>
                <w:sz w:val="24"/>
              </w:rPr>
            </w:pPr>
            <w:r w:rsidRPr="00EB1E75">
              <w:rPr>
                <w:rFonts w:ascii="仿宋_GB2312" w:eastAsia="仿宋_GB2312" w:hAnsi="仿宋_GB2312" w:cs="仿宋_GB2312" w:hint="eastAsia"/>
                <w:sz w:val="24"/>
              </w:rPr>
              <w:t>分类</w:t>
            </w:r>
          </w:p>
        </w:tc>
        <w:tc>
          <w:tcPr>
            <w:tcW w:w="456" w:type="dxa"/>
            <w:vAlign w:val="center"/>
          </w:tcPr>
          <w:p w:rsidR="003B21F0" w:rsidRPr="00EB1E75" w:rsidRDefault="003B21F0" w:rsidP="000B4B65">
            <w:pPr>
              <w:spacing w:line="400" w:lineRule="exact"/>
              <w:jc w:val="center"/>
              <w:rPr>
                <w:rFonts w:ascii="仿宋_GB2312" w:eastAsia="仿宋_GB2312" w:hAnsi="仿宋_GB2312" w:cs="仿宋_GB2312" w:hint="eastAsia"/>
                <w:sz w:val="24"/>
              </w:rPr>
            </w:pPr>
            <w:r w:rsidRPr="00EB1E75">
              <w:rPr>
                <w:rFonts w:ascii="仿宋_GB2312" w:eastAsia="仿宋_GB2312" w:hAnsi="仿宋_GB2312" w:cs="仿宋_GB2312" w:hint="eastAsia"/>
                <w:sz w:val="24"/>
              </w:rPr>
              <w:t>序号</w:t>
            </w:r>
          </w:p>
        </w:tc>
        <w:tc>
          <w:tcPr>
            <w:tcW w:w="2844" w:type="dxa"/>
            <w:vAlign w:val="center"/>
          </w:tcPr>
          <w:p w:rsidR="003B21F0" w:rsidRPr="00EB1E75" w:rsidRDefault="003B21F0" w:rsidP="000B4B65">
            <w:pPr>
              <w:spacing w:line="400" w:lineRule="exact"/>
              <w:jc w:val="center"/>
              <w:rPr>
                <w:rFonts w:ascii="仿宋_GB2312" w:eastAsia="仿宋_GB2312" w:hAnsi="仿宋_GB2312" w:cs="仿宋_GB2312" w:hint="eastAsia"/>
                <w:sz w:val="24"/>
              </w:rPr>
            </w:pPr>
            <w:r w:rsidRPr="00EB1E75">
              <w:rPr>
                <w:rFonts w:ascii="仿宋_GB2312" w:eastAsia="仿宋_GB2312" w:hAnsi="仿宋_GB2312" w:cs="仿宋_GB2312" w:hint="eastAsia"/>
                <w:sz w:val="24"/>
              </w:rPr>
              <w:t>待销毁烟花爆竹种类</w:t>
            </w:r>
          </w:p>
        </w:tc>
        <w:tc>
          <w:tcPr>
            <w:tcW w:w="1169" w:type="dxa"/>
            <w:vAlign w:val="center"/>
          </w:tcPr>
          <w:p w:rsidR="003B21F0" w:rsidRPr="00EB1E75" w:rsidRDefault="003B21F0" w:rsidP="000B4B65">
            <w:pPr>
              <w:spacing w:line="400" w:lineRule="exact"/>
              <w:jc w:val="center"/>
              <w:rPr>
                <w:rFonts w:ascii="仿宋_GB2312" w:eastAsia="仿宋_GB2312" w:hAnsi="仿宋_GB2312" w:cs="仿宋_GB2312" w:hint="eastAsia"/>
                <w:sz w:val="24"/>
              </w:rPr>
            </w:pPr>
            <w:r w:rsidRPr="00EB1E75">
              <w:rPr>
                <w:rFonts w:ascii="仿宋_GB2312" w:eastAsia="仿宋_GB2312" w:hAnsi="仿宋_GB2312" w:cs="仿宋_GB2312" w:hint="eastAsia"/>
                <w:sz w:val="24"/>
              </w:rPr>
              <w:t>销毁</w:t>
            </w:r>
            <w:r w:rsidRPr="00EB1E75">
              <w:rPr>
                <w:rFonts w:ascii="仿宋_GB2312" w:eastAsia="仿宋_GB2312" w:hAnsi="仿宋_GB2312" w:cs="仿宋_GB2312"/>
                <w:sz w:val="24"/>
              </w:rPr>
              <w:br/>
            </w:r>
            <w:r w:rsidRPr="00EB1E75">
              <w:rPr>
                <w:rFonts w:ascii="仿宋_GB2312" w:eastAsia="仿宋_GB2312" w:hAnsi="仿宋_GB2312" w:cs="仿宋_GB2312" w:hint="eastAsia"/>
                <w:sz w:val="24"/>
              </w:rPr>
              <w:t>方法</w:t>
            </w:r>
          </w:p>
        </w:tc>
        <w:tc>
          <w:tcPr>
            <w:tcW w:w="1268" w:type="dxa"/>
            <w:vAlign w:val="center"/>
          </w:tcPr>
          <w:p w:rsidR="003B21F0" w:rsidRPr="00EB1E75" w:rsidRDefault="003B21F0" w:rsidP="000B4B65">
            <w:pPr>
              <w:spacing w:line="400" w:lineRule="exact"/>
              <w:jc w:val="center"/>
              <w:rPr>
                <w:rFonts w:ascii="仿宋_GB2312" w:eastAsia="仿宋_GB2312" w:hAnsi="仿宋_GB2312" w:cs="仿宋_GB2312" w:hint="eastAsia"/>
                <w:sz w:val="24"/>
              </w:rPr>
            </w:pPr>
            <w:r w:rsidRPr="00EB1E75">
              <w:rPr>
                <w:rFonts w:ascii="仿宋_GB2312" w:eastAsia="仿宋_GB2312" w:hAnsi="仿宋_GB2312" w:cs="仿宋_GB2312" w:hint="eastAsia"/>
                <w:sz w:val="24"/>
              </w:rPr>
              <w:t>一次销毁最大药量(公斤)</w:t>
            </w:r>
          </w:p>
        </w:tc>
        <w:tc>
          <w:tcPr>
            <w:tcW w:w="1674" w:type="dxa"/>
            <w:vAlign w:val="center"/>
          </w:tcPr>
          <w:p w:rsidR="003B21F0" w:rsidRPr="00EB1E75" w:rsidRDefault="003B21F0" w:rsidP="000B4B65">
            <w:pPr>
              <w:spacing w:line="400" w:lineRule="exact"/>
              <w:jc w:val="center"/>
              <w:rPr>
                <w:rFonts w:ascii="仿宋_GB2312" w:eastAsia="仿宋_GB2312" w:hAnsi="仿宋_GB2312" w:cs="仿宋_GB2312" w:hint="eastAsia"/>
                <w:sz w:val="24"/>
              </w:rPr>
            </w:pPr>
            <w:r w:rsidRPr="00EB1E75">
              <w:rPr>
                <w:rFonts w:ascii="仿宋_GB2312" w:eastAsia="仿宋_GB2312" w:hAnsi="仿宋_GB2312" w:cs="仿宋_GB2312" w:hint="eastAsia"/>
                <w:sz w:val="24"/>
              </w:rPr>
              <w:t>铺设最</w:t>
            </w:r>
            <w:r w:rsidRPr="00EB1E75">
              <w:rPr>
                <w:rFonts w:ascii="仿宋_GB2312" w:eastAsia="仿宋_GB2312" w:hAnsi="仿宋_GB2312" w:cs="仿宋_GB2312"/>
                <w:sz w:val="24"/>
              </w:rPr>
              <w:br/>
            </w:r>
            <w:r w:rsidRPr="00EB1E75">
              <w:rPr>
                <w:rFonts w:ascii="仿宋_GB2312" w:eastAsia="仿宋_GB2312" w:hAnsi="仿宋_GB2312" w:cs="仿宋_GB2312" w:hint="eastAsia"/>
                <w:sz w:val="24"/>
              </w:rPr>
              <w:t>大厚度</w:t>
            </w:r>
            <w:r w:rsidRPr="00EB1E75">
              <w:rPr>
                <w:rFonts w:ascii="仿宋_GB2312" w:eastAsia="仿宋_GB2312" w:hAnsi="仿宋_GB2312" w:cs="仿宋_GB2312"/>
                <w:sz w:val="24"/>
              </w:rPr>
              <w:br/>
            </w:r>
            <w:r w:rsidRPr="00EB1E75">
              <w:rPr>
                <w:rFonts w:ascii="仿宋_GB2312" w:eastAsia="仿宋_GB2312" w:hAnsi="仿宋_GB2312" w:cs="仿宋_GB2312" w:hint="eastAsia"/>
                <w:sz w:val="24"/>
              </w:rPr>
              <w:t>（厘米）</w:t>
            </w:r>
          </w:p>
        </w:tc>
        <w:tc>
          <w:tcPr>
            <w:tcW w:w="1134" w:type="dxa"/>
            <w:vAlign w:val="center"/>
          </w:tcPr>
          <w:p w:rsidR="003B21F0" w:rsidRPr="00EB1E75" w:rsidRDefault="003B21F0" w:rsidP="000B4B65">
            <w:pPr>
              <w:spacing w:line="400" w:lineRule="exact"/>
              <w:jc w:val="center"/>
              <w:rPr>
                <w:rFonts w:ascii="仿宋_GB2312" w:eastAsia="仿宋_GB2312" w:hAnsi="仿宋_GB2312" w:cs="仿宋_GB2312" w:hint="eastAsia"/>
                <w:sz w:val="24"/>
              </w:rPr>
            </w:pPr>
            <w:r w:rsidRPr="00EB1E75">
              <w:rPr>
                <w:rFonts w:ascii="仿宋_GB2312" w:eastAsia="仿宋_GB2312" w:hAnsi="仿宋_GB2312" w:cs="仿宋_GB2312" w:hint="eastAsia"/>
                <w:sz w:val="24"/>
              </w:rPr>
              <w:t>铺设最大宽度</w:t>
            </w:r>
            <w:r w:rsidRPr="00EB1E75">
              <w:rPr>
                <w:rFonts w:ascii="仿宋_GB2312" w:eastAsia="仿宋_GB2312" w:hAnsi="仿宋_GB2312" w:cs="仿宋_GB2312"/>
                <w:sz w:val="24"/>
              </w:rPr>
              <w:br/>
            </w:r>
            <w:r w:rsidRPr="00EB1E75">
              <w:rPr>
                <w:rFonts w:ascii="仿宋_GB2312" w:eastAsia="仿宋_GB2312" w:hAnsi="仿宋_GB2312" w:cs="仿宋_GB2312" w:hint="eastAsia"/>
                <w:sz w:val="24"/>
              </w:rPr>
              <w:t>（厘米）</w:t>
            </w:r>
          </w:p>
        </w:tc>
      </w:tr>
      <w:tr w:rsidR="003B21F0" w:rsidRPr="00BF4554" w:rsidTr="000B4B65">
        <w:trPr>
          <w:trHeight w:val="854"/>
          <w:jc w:val="center"/>
        </w:trPr>
        <w:tc>
          <w:tcPr>
            <w:tcW w:w="456" w:type="dxa"/>
            <w:vMerge w:val="restart"/>
            <w:shd w:val="clear" w:color="auto" w:fill="auto"/>
            <w:vAlign w:val="center"/>
          </w:tcPr>
          <w:p w:rsidR="003B21F0" w:rsidRPr="00EB1E75" w:rsidRDefault="003B21F0" w:rsidP="000B4B65">
            <w:pPr>
              <w:spacing w:line="400" w:lineRule="exact"/>
              <w:jc w:val="center"/>
              <w:rPr>
                <w:rFonts w:ascii="仿宋_GB2312" w:eastAsia="仿宋_GB2312" w:hAnsi="仿宋_GB2312" w:cs="仿宋_GB2312" w:hint="eastAsia"/>
                <w:sz w:val="24"/>
              </w:rPr>
            </w:pPr>
            <w:r w:rsidRPr="00EB1E75">
              <w:rPr>
                <w:rFonts w:ascii="仿宋_GB2312" w:eastAsia="仿宋_GB2312" w:hAnsi="仿宋_GB2312" w:cs="仿宋_GB2312" w:hint="eastAsia"/>
                <w:sz w:val="24"/>
              </w:rPr>
              <w:t>Ⅰ</w:t>
            </w:r>
          </w:p>
          <w:p w:rsidR="003B21F0" w:rsidRPr="00EB1E75" w:rsidRDefault="003B21F0" w:rsidP="000B4B65">
            <w:pPr>
              <w:spacing w:line="400" w:lineRule="exact"/>
              <w:jc w:val="center"/>
              <w:rPr>
                <w:rFonts w:ascii="仿宋_GB2312" w:eastAsia="仿宋_GB2312" w:hAnsi="仿宋_GB2312" w:cs="仿宋_GB2312" w:hint="eastAsia"/>
                <w:sz w:val="24"/>
              </w:rPr>
            </w:pPr>
          </w:p>
          <w:p w:rsidR="003B21F0" w:rsidRPr="00EB1E75" w:rsidRDefault="003B21F0" w:rsidP="000B4B65">
            <w:pPr>
              <w:spacing w:line="400" w:lineRule="exact"/>
              <w:jc w:val="center"/>
              <w:rPr>
                <w:rFonts w:ascii="仿宋_GB2312" w:eastAsia="仿宋_GB2312" w:hAnsi="仿宋_GB2312" w:cs="仿宋_GB2312" w:hint="eastAsia"/>
                <w:sz w:val="24"/>
              </w:rPr>
            </w:pPr>
          </w:p>
          <w:p w:rsidR="003B21F0" w:rsidRPr="00EB1E75" w:rsidRDefault="003B21F0" w:rsidP="000B4B65">
            <w:pPr>
              <w:spacing w:line="400" w:lineRule="exact"/>
              <w:jc w:val="center"/>
              <w:rPr>
                <w:rFonts w:ascii="仿宋_GB2312" w:eastAsia="仿宋_GB2312" w:hAnsi="仿宋_GB2312" w:cs="仿宋_GB2312" w:hint="eastAsia"/>
                <w:sz w:val="24"/>
              </w:rPr>
            </w:pPr>
            <w:r w:rsidRPr="00EB1E75">
              <w:rPr>
                <w:rFonts w:ascii="仿宋_GB2312" w:eastAsia="仿宋_GB2312" w:hAnsi="仿宋_GB2312" w:cs="仿宋_GB2312" w:hint="eastAsia"/>
                <w:sz w:val="24"/>
              </w:rPr>
              <w:t>类</w:t>
            </w:r>
          </w:p>
        </w:tc>
        <w:tc>
          <w:tcPr>
            <w:tcW w:w="456" w:type="dxa"/>
            <w:vAlign w:val="center"/>
          </w:tcPr>
          <w:p w:rsidR="003B21F0" w:rsidRPr="00EB1E75" w:rsidRDefault="003B21F0" w:rsidP="000B4B65">
            <w:pPr>
              <w:spacing w:line="400" w:lineRule="exact"/>
              <w:jc w:val="center"/>
              <w:rPr>
                <w:rFonts w:ascii="仿宋_GB2312" w:eastAsia="仿宋_GB2312" w:hAnsi="仿宋_GB2312" w:cs="仿宋_GB2312" w:hint="eastAsia"/>
                <w:sz w:val="24"/>
              </w:rPr>
            </w:pPr>
            <w:r w:rsidRPr="00EB1E75">
              <w:rPr>
                <w:rFonts w:ascii="仿宋_GB2312" w:eastAsia="仿宋_GB2312" w:hAnsi="仿宋_GB2312" w:cs="仿宋_GB2312" w:hint="eastAsia"/>
                <w:sz w:val="24"/>
              </w:rPr>
              <w:t>3</w:t>
            </w:r>
          </w:p>
        </w:tc>
        <w:tc>
          <w:tcPr>
            <w:tcW w:w="2844" w:type="dxa"/>
            <w:vAlign w:val="center"/>
          </w:tcPr>
          <w:p w:rsidR="003B21F0" w:rsidRPr="00EB1E75" w:rsidRDefault="003B21F0" w:rsidP="000B4B65">
            <w:pPr>
              <w:spacing w:line="400" w:lineRule="exact"/>
              <w:jc w:val="center"/>
              <w:rPr>
                <w:rFonts w:ascii="仿宋_GB2312" w:eastAsia="仿宋_GB2312" w:hAnsi="仿宋_GB2312" w:cs="仿宋_GB2312" w:hint="eastAsia"/>
                <w:sz w:val="24"/>
              </w:rPr>
            </w:pPr>
            <w:r w:rsidRPr="00EB1E75">
              <w:rPr>
                <w:rFonts w:ascii="仿宋_GB2312" w:eastAsia="仿宋_GB2312" w:hAnsi="仿宋_GB2312" w:cs="仿宋_GB2312" w:hint="eastAsia"/>
                <w:sz w:val="24"/>
              </w:rPr>
              <w:t>黑火药</w:t>
            </w:r>
          </w:p>
        </w:tc>
        <w:tc>
          <w:tcPr>
            <w:tcW w:w="1169" w:type="dxa"/>
            <w:vAlign w:val="center"/>
          </w:tcPr>
          <w:p w:rsidR="003B21F0" w:rsidRPr="00EB1E75" w:rsidRDefault="003B21F0" w:rsidP="000B4B65">
            <w:pPr>
              <w:spacing w:line="400" w:lineRule="exact"/>
              <w:jc w:val="center"/>
              <w:rPr>
                <w:rFonts w:ascii="仿宋_GB2312" w:eastAsia="仿宋_GB2312" w:hAnsi="仿宋_GB2312" w:cs="仿宋_GB2312" w:hint="eastAsia"/>
                <w:sz w:val="24"/>
              </w:rPr>
            </w:pPr>
            <w:r w:rsidRPr="00EB1E75">
              <w:rPr>
                <w:rFonts w:ascii="仿宋_GB2312" w:eastAsia="仿宋_GB2312" w:hAnsi="仿宋_GB2312" w:cs="仿宋_GB2312" w:hint="eastAsia"/>
                <w:sz w:val="24"/>
              </w:rPr>
              <w:t>户外焚烧法</w:t>
            </w:r>
          </w:p>
        </w:tc>
        <w:tc>
          <w:tcPr>
            <w:tcW w:w="1268" w:type="dxa"/>
            <w:vAlign w:val="center"/>
          </w:tcPr>
          <w:p w:rsidR="003B21F0" w:rsidRPr="00EB1E75" w:rsidRDefault="003B21F0" w:rsidP="000B4B65">
            <w:pPr>
              <w:spacing w:line="400" w:lineRule="exact"/>
              <w:jc w:val="center"/>
              <w:rPr>
                <w:rFonts w:ascii="仿宋_GB2312" w:eastAsia="仿宋_GB2312" w:hAnsi="仿宋_GB2312" w:cs="仿宋_GB2312" w:hint="eastAsia"/>
                <w:sz w:val="24"/>
              </w:rPr>
            </w:pPr>
            <w:r w:rsidRPr="00EB1E75">
              <w:rPr>
                <w:rFonts w:ascii="仿宋_GB2312" w:eastAsia="仿宋_GB2312" w:hAnsi="仿宋_GB2312" w:cs="仿宋_GB2312" w:hint="eastAsia"/>
                <w:sz w:val="24"/>
              </w:rPr>
              <w:t>500</w:t>
            </w:r>
          </w:p>
        </w:tc>
        <w:tc>
          <w:tcPr>
            <w:tcW w:w="1674" w:type="dxa"/>
            <w:vAlign w:val="center"/>
          </w:tcPr>
          <w:p w:rsidR="003B21F0" w:rsidRPr="00EB1E75" w:rsidRDefault="003B21F0" w:rsidP="000B4B65">
            <w:pPr>
              <w:spacing w:line="400" w:lineRule="exact"/>
              <w:jc w:val="center"/>
              <w:rPr>
                <w:rFonts w:ascii="仿宋_GB2312" w:eastAsia="仿宋_GB2312" w:hAnsi="仿宋_GB2312" w:cs="仿宋_GB2312" w:hint="eastAsia"/>
                <w:sz w:val="24"/>
              </w:rPr>
            </w:pPr>
            <w:r w:rsidRPr="00EB1E75">
              <w:rPr>
                <w:rFonts w:ascii="仿宋_GB2312" w:eastAsia="仿宋_GB2312" w:hAnsi="仿宋_GB2312" w:cs="仿宋_GB2312" w:hint="eastAsia"/>
                <w:sz w:val="24"/>
              </w:rPr>
              <w:t>2</w:t>
            </w:r>
          </w:p>
        </w:tc>
        <w:tc>
          <w:tcPr>
            <w:tcW w:w="1134" w:type="dxa"/>
            <w:vAlign w:val="center"/>
          </w:tcPr>
          <w:p w:rsidR="003B21F0" w:rsidRPr="00EB1E75" w:rsidRDefault="003B21F0" w:rsidP="000B4B65">
            <w:pPr>
              <w:spacing w:line="400" w:lineRule="exact"/>
              <w:jc w:val="center"/>
              <w:rPr>
                <w:rFonts w:ascii="仿宋_GB2312" w:eastAsia="仿宋_GB2312" w:hAnsi="仿宋_GB2312" w:cs="仿宋_GB2312" w:hint="eastAsia"/>
                <w:sz w:val="24"/>
              </w:rPr>
            </w:pPr>
            <w:r w:rsidRPr="00EB1E75">
              <w:rPr>
                <w:rFonts w:ascii="仿宋_GB2312" w:eastAsia="仿宋_GB2312" w:hAnsi="仿宋_GB2312" w:cs="仿宋_GB2312" w:hint="eastAsia"/>
                <w:sz w:val="24"/>
              </w:rPr>
              <w:t>30</w:t>
            </w:r>
          </w:p>
        </w:tc>
      </w:tr>
      <w:tr w:rsidR="003B21F0" w:rsidRPr="00BF4554" w:rsidTr="000B4B65">
        <w:trPr>
          <w:trHeight w:val="820"/>
          <w:jc w:val="center"/>
        </w:trPr>
        <w:tc>
          <w:tcPr>
            <w:tcW w:w="456" w:type="dxa"/>
            <w:vMerge/>
            <w:shd w:val="clear" w:color="auto" w:fill="auto"/>
            <w:vAlign w:val="center"/>
          </w:tcPr>
          <w:p w:rsidR="003B21F0" w:rsidRPr="00EB1E75" w:rsidRDefault="003B21F0" w:rsidP="000B4B65">
            <w:pPr>
              <w:spacing w:line="400" w:lineRule="exact"/>
              <w:jc w:val="center"/>
              <w:rPr>
                <w:rFonts w:ascii="仿宋_GB2312" w:eastAsia="仿宋_GB2312" w:hAnsi="仿宋_GB2312" w:cs="仿宋_GB2312" w:hint="eastAsia"/>
                <w:sz w:val="24"/>
              </w:rPr>
            </w:pPr>
          </w:p>
        </w:tc>
        <w:tc>
          <w:tcPr>
            <w:tcW w:w="456" w:type="dxa"/>
            <w:vAlign w:val="center"/>
          </w:tcPr>
          <w:p w:rsidR="003B21F0" w:rsidRPr="00EB1E75" w:rsidRDefault="003B21F0" w:rsidP="000B4B65">
            <w:pPr>
              <w:spacing w:line="400" w:lineRule="exact"/>
              <w:jc w:val="center"/>
              <w:rPr>
                <w:rFonts w:ascii="仿宋_GB2312" w:eastAsia="仿宋_GB2312" w:hAnsi="仿宋_GB2312" w:cs="仿宋_GB2312" w:hint="eastAsia"/>
                <w:sz w:val="24"/>
              </w:rPr>
            </w:pPr>
            <w:r w:rsidRPr="00EB1E75">
              <w:rPr>
                <w:rFonts w:ascii="仿宋_GB2312" w:eastAsia="仿宋_GB2312" w:hAnsi="仿宋_GB2312" w:cs="仿宋_GB2312" w:hint="eastAsia"/>
                <w:sz w:val="24"/>
              </w:rPr>
              <w:t>4</w:t>
            </w:r>
          </w:p>
        </w:tc>
        <w:tc>
          <w:tcPr>
            <w:tcW w:w="2844" w:type="dxa"/>
            <w:vAlign w:val="center"/>
          </w:tcPr>
          <w:p w:rsidR="003B21F0" w:rsidRPr="00EB1E75" w:rsidRDefault="003B21F0" w:rsidP="000B4B65">
            <w:pPr>
              <w:spacing w:line="400" w:lineRule="exact"/>
              <w:jc w:val="center"/>
              <w:rPr>
                <w:rFonts w:ascii="仿宋_GB2312" w:eastAsia="仿宋_GB2312" w:hAnsi="仿宋_GB2312" w:cs="仿宋_GB2312" w:hint="eastAsia"/>
                <w:sz w:val="24"/>
              </w:rPr>
            </w:pPr>
            <w:r w:rsidRPr="00EB1E75">
              <w:rPr>
                <w:rFonts w:ascii="仿宋_GB2312" w:eastAsia="仿宋_GB2312" w:hAnsi="仿宋_GB2312" w:cs="仿宋_GB2312" w:hint="eastAsia"/>
                <w:sz w:val="24"/>
              </w:rPr>
              <w:t>单基火药；引火线</w:t>
            </w:r>
          </w:p>
        </w:tc>
        <w:tc>
          <w:tcPr>
            <w:tcW w:w="1169" w:type="dxa"/>
            <w:vAlign w:val="center"/>
          </w:tcPr>
          <w:p w:rsidR="003B21F0" w:rsidRPr="00EB1E75" w:rsidRDefault="003B21F0" w:rsidP="000B4B65">
            <w:pPr>
              <w:spacing w:line="400" w:lineRule="exact"/>
              <w:jc w:val="center"/>
              <w:rPr>
                <w:rFonts w:ascii="仿宋_GB2312" w:eastAsia="仿宋_GB2312" w:hAnsi="仿宋_GB2312" w:cs="仿宋_GB2312" w:hint="eastAsia"/>
                <w:sz w:val="24"/>
              </w:rPr>
            </w:pPr>
            <w:r w:rsidRPr="00EB1E75">
              <w:rPr>
                <w:rFonts w:ascii="仿宋_GB2312" w:eastAsia="仿宋_GB2312" w:hAnsi="仿宋_GB2312" w:cs="仿宋_GB2312" w:hint="eastAsia"/>
                <w:sz w:val="24"/>
              </w:rPr>
              <w:t>户外焚烧法</w:t>
            </w:r>
          </w:p>
        </w:tc>
        <w:tc>
          <w:tcPr>
            <w:tcW w:w="1268" w:type="dxa"/>
            <w:vAlign w:val="center"/>
          </w:tcPr>
          <w:p w:rsidR="003B21F0" w:rsidRPr="00EB1E75" w:rsidRDefault="003B21F0" w:rsidP="000B4B65">
            <w:pPr>
              <w:spacing w:line="400" w:lineRule="exact"/>
              <w:jc w:val="center"/>
              <w:rPr>
                <w:rFonts w:ascii="仿宋_GB2312" w:eastAsia="仿宋_GB2312" w:hAnsi="仿宋_GB2312" w:cs="仿宋_GB2312" w:hint="eastAsia"/>
                <w:sz w:val="24"/>
              </w:rPr>
            </w:pPr>
            <w:r w:rsidRPr="00EB1E75">
              <w:rPr>
                <w:rFonts w:ascii="仿宋_GB2312" w:eastAsia="仿宋_GB2312" w:hAnsi="仿宋_GB2312" w:cs="仿宋_GB2312" w:hint="eastAsia"/>
                <w:sz w:val="24"/>
              </w:rPr>
              <w:t>500</w:t>
            </w:r>
          </w:p>
        </w:tc>
        <w:tc>
          <w:tcPr>
            <w:tcW w:w="1674" w:type="dxa"/>
            <w:vAlign w:val="center"/>
          </w:tcPr>
          <w:p w:rsidR="003B21F0" w:rsidRPr="00EB1E75" w:rsidRDefault="003B21F0" w:rsidP="000B4B65">
            <w:pPr>
              <w:spacing w:line="400" w:lineRule="exact"/>
              <w:jc w:val="center"/>
              <w:rPr>
                <w:rFonts w:ascii="仿宋_GB2312" w:eastAsia="仿宋_GB2312" w:hAnsi="仿宋_GB2312" w:cs="仿宋_GB2312" w:hint="eastAsia"/>
                <w:sz w:val="24"/>
              </w:rPr>
            </w:pPr>
            <w:r w:rsidRPr="00EB1E75">
              <w:rPr>
                <w:rFonts w:ascii="仿宋_GB2312" w:eastAsia="仿宋_GB2312" w:hAnsi="仿宋_GB2312" w:cs="仿宋_GB2312" w:hint="eastAsia"/>
                <w:sz w:val="24"/>
              </w:rPr>
              <w:t>5</w:t>
            </w:r>
          </w:p>
        </w:tc>
        <w:tc>
          <w:tcPr>
            <w:tcW w:w="1134" w:type="dxa"/>
            <w:vAlign w:val="center"/>
          </w:tcPr>
          <w:p w:rsidR="003B21F0" w:rsidRPr="00EB1E75" w:rsidRDefault="003B21F0" w:rsidP="000B4B65">
            <w:pPr>
              <w:spacing w:line="400" w:lineRule="exact"/>
              <w:jc w:val="center"/>
              <w:rPr>
                <w:rFonts w:ascii="仿宋_GB2312" w:eastAsia="仿宋_GB2312" w:hAnsi="仿宋_GB2312" w:cs="仿宋_GB2312" w:hint="eastAsia"/>
                <w:sz w:val="24"/>
              </w:rPr>
            </w:pPr>
            <w:r w:rsidRPr="00EB1E75">
              <w:rPr>
                <w:rFonts w:ascii="仿宋_GB2312" w:eastAsia="仿宋_GB2312" w:hAnsi="仿宋_GB2312" w:cs="仿宋_GB2312" w:hint="eastAsia"/>
                <w:sz w:val="24"/>
              </w:rPr>
              <w:t>150</w:t>
            </w:r>
          </w:p>
        </w:tc>
      </w:tr>
      <w:tr w:rsidR="003B21F0" w:rsidRPr="00BF4554" w:rsidTr="000B4B65">
        <w:trPr>
          <w:trHeight w:val="1222"/>
          <w:jc w:val="center"/>
        </w:trPr>
        <w:tc>
          <w:tcPr>
            <w:tcW w:w="456" w:type="dxa"/>
            <w:vMerge/>
            <w:shd w:val="clear" w:color="auto" w:fill="auto"/>
            <w:vAlign w:val="center"/>
          </w:tcPr>
          <w:p w:rsidR="003B21F0" w:rsidRPr="00EB1E75" w:rsidRDefault="003B21F0" w:rsidP="000B4B65">
            <w:pPr>
              <w:spacing w:line="400" w:lineRule="exact"/>
              <w:jc w:val="center"/>
              <w:rPr>
                <w:rFonts w:ascii="仿宋_GB2312" w:eastAsia="仿宋_GB2312" w:hAnsi="仿宋_GB2312" w:cs="仿宋_GB2312" w:hint="eastAsia"/>
                <w:sz w:val="24"/>
              </w:rPr>
            </w:pPr>
          </w:p>
        </w:tc>
        <w:tc>
          <w:tcPr>
            <w:tcW w:w="456" w:type="dxa"/>
            <w:vAlign w:val="center"/>
          </w:tcPr>
          <w:p w:rsidR="003B21F0" w:rsidRPr="00EB1E75" w:rsidRDefault="003B21F0" w:rsidP="000B4B65">
            <w:pPr>
              <w:spacing w:line="400" w:lineRule="exact"/>
              <w:jc w:val="center"/>
              <w:rPr>
                <w:rFonts w:ascii="仿宋_GB2312" w:eastAsia="仿宋_GB2312" w:hAnsi="仿宋_GB2312" w:cs="仿宋_GB2312" w:hint="eastAsia"/>
                <w:sz w:val="24"/>
              </w:rPr>
            </w:pPr>
            <w:r w:rsidRPr="00EB1E75">
              <w:rPr>
                <w:rFonts w:ascii="仿宋_GB2312" w:eastAsia="仿宋_GB2312" w:hAnsi="仿宋_GB2312" w:cs="仿宋_GB2312" w:hint="eastAsia"/>
                <w:sz w:val="24"/>
              </w:rPr>
              <w:t>5</w:t>
            </w:r>
          </w:p>
        </w:tc>
        <w:tc>
          <w:tcPr>
            <w:tcW w:w="2844" w:type="dxa"/>
            <w:vAlign w:val="center"/>
          </w:tcPr>
          <w:p w:rsidR="003B21F0" w:rsidRPr="00EB1E75" w:rsidRDefault="003B21F0" w:rsidP="000B4B65">
            <w:pPr>
              <w:spacing w:line="400" w:lineRule="exact"/>
              <w:jc w:val="center"/>
              <w:rPr>
                <w:rFonts w:ascii="仿宋_GB2312" w:eastAsia="仿宋_GB2312" w:hAnsi="仿宋_GB2312" w:cs="仿宋_GB2312" w:hint="eastAsia"/>
                <w:sz w:val="24"/>
              </w:rPr>
            </w:pPr>
            <w:r w:rsidRPr="00EB1E75">
              <w:rPr>
                <w:rFonts w:ascii="仿宋_GB2312" w:eastAsia="仿宋_GB2312" w:hAnsi="仿宋_GB2312" w:cs="仿宋_GB2312" w:hint="eastAsia"/>
                <w:sz w:val="24"/>
              </w:rPr>
              <w:t>烟火药（含亮珠、药柱等裸药效果件）</w:t>
            </w:r>
          </w:p>
        </w:tc>
        <w:tc>
          <w:tcPr>
            <w:tcW w:w="1169" w:type="dxa"/>
            <w:vAlign w:val="center"/>
          </w:tcPr>
          <w:p w:rsidR="003B21F0" w:rsidRPr="00EB1E75" w:rsidRDefault="003B21F0" w:rsidP="000B4B65">
            <w:pPr>
              <w:spacing w:line="400" w:lineRule="exact"/>
              <w:jc w:val="center"/>
              <w:rPr>
                <w:rFonts w:ascii="仿宋_GB2312" w:eastAsia="仿宋_GB2312" w:hAnsi="仿宋_GB2312" w:cs="仿宋_GB2312" w:hint="eastAsia"/>
                <w:sz w:val="24"/>
              </w:rPr>
            </w:pPr>
            <w:r w:rsidRPr="00EB1E75">
              <w:rPr>
                <w:rFonts w:ascii="仿宋_GB2312" w:eastAsia="仿宋_GB2312" w:hAnsi="仿宋_GB2312" w:cs="仿宋_GB2312" w:hint="eastAsia"/>
                <w:sz w:val="24"/>
              </w:rPr>
              <w:t>户外焚烧法</w:t>
            </w:r>
          </w:p>
        </w:tc>
        <w:tc>
          <w:tcPr>
            <w:tcW w:w="1268" w:type="dxa"/>
            <w:vAlign w:val="center"/>
          </w:tcPr>
          <w:p w:rsidR="003B21F0" w:rsidRPr="00EB1E75" w:rsidRDefault="003B21F0" w:rsidP="000B4B65">
            <w:pPr>
              <w:spacing w:line="400" w:lineRule="exact"/>
              <w:jc w:val="center"/>
              <w:rPr>
                <w:rFonts w:ascii="仿宋_GB2312" w:eastAsia="仿宋_GB2312" w:hAnsi="仿宋_GB2312" w:cs="仿宋_GB2312" w:hint="eastAsia"/>
                <w:sz w:val="24"/>
              </w:rPr>
            </w:pPr>
            <w:r w:rsidRPr="00EB1E75">
              <w:rPr>
                <w:rFonts w:ascii="仿宋_GB2312" w:eastAsia="仿宋_GB2312" w:hAnsi="仿宋_GB2312" w:cs="仿宋_GB2312" w:hint="eastAsia"/>
                <w:sz w:val="24"/>
              </w:rPr>
              <w:t>500</w:t>
            </w:r>
          </w:p>
        </w:tc>
        <w:tc>
          <w:tcPr>
            <w:tcW w:w="1674" w:type="dxa"/>
            <w:vAlign w:val="center"/>
          </w:tcPr>
          <w:p w:rsidR="003B21F0" w:rsidRPr="00EB1E75" w:rsidRDefault="003B21F0" w:rsidP="000B4B65">
            <w:pPr>
              <w:spacing w:line="400" w:lineRule="exact"/>
              <w:jc w:val="center"/>
              <w:rPr>
                <w:rFonts w:ascii="仿宋_GB2312" w:eastAsia="仿宋_GB2312" w:hAnsi="仿宋_GB2312" w:cs="仿宋_GB2312" w:hint="eastAsia"/>
                <w:sz w:val="24"/>
              </w:rPr>
            </w:pPr>
            <w:r w:rsidRPr="00EB1E75">
              <w:rPr>
                <w:rFonts w:ascii="仿宋_GB2312" w:eastAsia="仿宋_GB2312" w:hAnsi="仿宋_GB2312" w:cs="仿宋_GB2312" w:hint="eastAsia"/>
                <w:sz w:val="24"/>
              </w:rPr>
              <w:t>3(直径或高度≥3厘米的药柱为单个药柱厚度)</w:t>
            </w:r>
          </w:p>
        </w:tc>
        <w:tc>
          <w:tcPr>
            <w:tcW w:w="1134" w:type="dxa"/>
            <w:vAlign w:val="center"/>
          </w:tcPr>
          <w:p w:rsidR="003B21F0" w:rsidRPr="00EB1E75" w:rsidRDefault="003B21F0" w:rsidP="000B4B65">
            <w:pPr>
              <w:spacing w:line="400" w:lineRule="exact"/>
              <w:jc w:val="center"/>
              <w:rPr>
                <w:rFonts w:ascii="仿宋_GB2312" w:eastAsia="仿宋_GB2312" w:hAnsi="仿宋_GB2312" w:cs="仿宋_GB2312" w:hint="eastAsia"/>
                <w:sz w:val="24"/>
              </w:rPr>
            </w:pPr>
            <w:r w:rsidRPr="00EB1E75">
              <w:rPr>
                <w:rFonts w:ascii="仿宋_GB2312" w:eastAsia="仿宋_GB2312" w:hAnsi="仿宋_GB2312" w:cs="仿宋_GB2312" w:hint="eastAsia"/>
                <w:sz w:val="24"/>
              </w:rPr>
              <w:t>100</w:t>
            </w:r>
          </w:p>
        </w:tc>
      </w:tr>
      <w:tr w:rsidR="003B21F0" w:rsidRPr="00BF4554" w:rsidTr="000B4B65">
        <w:trPr>
          <w:trHeight w:val="567"/>
          <w:jc w:val="center"/>
        </w:trPr>
        <w:tc>
          <w:tcPr>
            <w:tcW w:w="456" w:type="dxa"/>
            <w:vMerge/>
            <w:shd w:val="clear" w:color="auto" w:fill="auto"/>
            <w:vAlign w:val="center"/>
          </w:tcPr>
          <w:p w:rsidR="003B21F0" w:rsidRPr="00EB1E75" w:rsidRDefault="003B21F0" w:rsidP="000B4B65">
            <w:pPr>
              <w:spacing w:line="400" w:lineRule="exact"/>
              <w:jc w:val="center"/>
              <w:rPr>
                <w:rFonts w:ascii="仿宋_GB2312" w:eastAsia="仿宋_GB2312" w:hAnsi="仿宋_GB2312" w:cs="仿宋_GB2312" w:hint="eastAsia"/>
                <w:sz w:val="24"/>
              </w:rPr>
            </w:pPr>
          </w:p>
        </w:tc>
        <w:tc>
          <w:tcPr>
            <w:tcW w:w="456" w:type="dxa"/>
            <w:vAlign w:val="center"/>
          </w:tcPr>
          <w:p w:rsidR="003B21F0" w:rsidRPr="00EB1E75" w:rsidRDefault="003B21F0" w:rsidP="000B4B65">
            <w:pPr>
              <w:spacing w:line="400" w:lineRule="exact"/>
              <w:jc w:val="center"/>
              <w:rPr>
                <w:rFonts w:ascii="仿宋_GB2312" w:eastAsia="仿宋_GB2312" w:hAnsi="仿宋_GB2312" w:cs="仿宋_GB2312" w:hint="eastAsia"/>
                <w:sz w:val="24"/>
              </w:rPr>
            </w:pPr>
            <w:r w:rsidRPr="00EB1E75">
              <w:rPr>
                <w:rFonts w:ascii="仿宋_GB2312" w:eastAsia="仿宋_GB2312" w:hAnsi="仿宋_GB2312" w:cs="仿宋_GB2312" w:hint="eastAsia"/>
                <w:sz w:val="24"/>
              </w:rPr>
              <w:t>6</w:t>
            </w:r>
          </w:p>
        </w:tc>
        <w:tc>
          <w:tcPr>
            <w:tcW w:w="2844" w:type="dxa"/>
            <w:vAlign w:val="center"/>
          </w:tcPr>
          <w:p w:rsidR="003B21F0" w:rsidRPr="00EB1E75" w:rsidRDefault="003B21F0" w:rsidP="000B4B65">
            <w:pPr>
              <w:spacing w:line="400" w:lineRule="exact"/>
              <w:jc w:val="center"/>
              <w:rPr>
                <w:rFonts w:ascii="仿宋_GB2312" w:eastAsia="仿宋_GB2312" w:hAnsi="仿宋_GB2312" w:cs="仿宋_GB2312" w:hint="eastAsia"/>
                <w:sz w:val="24"/>
              </w:rPr>
            </w:pPr>
            <w:r w:rsidRPr="00EB1E75">
              <w:rPr>
                <w:rFonts w:ascii="仿宋_GB2312" w:eastAsia="仿宋_GB2312" w:hAnsi="仿宋_GB2312" w:cs="仿宋_GB2312" w:hint="eastAsia"/>
                <w:sz w:val="24"/>
              </w:rPr>
              <w:t>烟火药（开包〈球〉药、爆炸音药、笛音药）</w:t>
            </w:r>
          </w:p>
        </w:tc>
        <w:tc>
          <w:tcPr>
            <w:tcW w:w="1169" w:type="dxa"/>
            <w:vAlign w:val="center"/>
          </w:tcPr>
          <w:p w:rsidR="003B21F0" w:rsidRPr="00EB1E75" w:rsidRDefault="003B21F0" w:rsidP="000B4B65">
            <w:pPr>
              <w:spacing w:line="400" w:lineRule="exact"/>
              <w:jc w:val="center"/>
              <w:rPr>
                <w:rFonts w:ascii="仿宋_GB2312" w:eastAsia="仿宋_GB2312" w:hAnsi="仿宋_GB2312" w:cs="仿宋_GB2312" w:hint="eastAsia"/>
                <w:sz w:val="24"/>
              </w:rPr>
            </w:pPr>
            <w:r w:rsidRPr="00EB1E75">
              <w:rPr>
                <w:rFonts w:ascii="仿宋_GB2312" w:eastAsia="仿宋_GB2312" w:hAnsi="仿宋_GB2312" w:cs="仿宋_GB2312" w:hint="eastAsia"/>
                <w:sz w:val="24"/>
              </w:rPr>
              <w:t>户外焚烧法</w:t>
            </w:r>
          </w:p>
        </w:tc>
        <w:tc>
          <w:tcPr>
            <w:tcW w:w="1268" w:type="dxa"/>
            <w:vAlign w:val="center"/>
          </w:tcPr>
          <w:p w:rsidR="003B21F0" w:rsidRPr="00EB1E75" w:rsidRDefault="003B21F0" w:rsidP="000B4B65">
            <w:pPr>
              <w:spacing w:line="400" w:lineRule="exact"/>
              <w:jc w:val="center"/>
              <w:rPr>
                <w:rFonts w:ascii="仿宋_GB2312" w:eastAsia="仿宋_GB2312" w:hAnsi="仿宋_GB2312" w:cs="仿宋_GB2312" w:hint="eastAsia"/>
                <w:sz w:val="24"/>
              </w:rPr>
            </w:pPr>
            <w:r w:rsidRPr="00EB1E75">
              <w:rPr>
                <w:rFonts w:ascii="仿宋_GB2312" w:eastAsia="仿宋_GB2312" w:hAnsi="仿宋_GB2312" w:cs="仿宋_GB2312" w:hint="eastAsia"/>
                <w:sz w:val="24"/>
              </w:rPr>
              <w:t>50</w:t>
            </w:r>
          </w:p>
        </w:tc>
        <w:tc>
          <w:tcPr>
            <w:tcW w:w="1674" w:type="dxa"/>
            <w:vAlign w:val="center"/>
          </w:tcPr>
          <w:p w:rsidR="003B21F0" w:rsidRPr="00EB1E75" w:rsidRDefault="003B21F0" w:rsidP="000B4B65">
            <w:pPr>
              <w:spacing w:line="400" w:lineRule="exact"/>
              <w:jc w:val="center"/>
              <w:rPr>
                <w:rFonts w:ascii="仿宋_GB2312" w:eastAsia="仿宋_GB2312" w:hAnsi="仿宋_GB2312" w:cs="仿宋_GB2312" w:hint="eastAsia"/>
                <w:sz w:val="24"/>
              </w:rPr>
            </w:pPr>
            <w:r w:rsidRPr="00EB1E75">
              <w:rPr>
                <w:rFonts w:ascii="仿宋_GB2312" w:eastAsia="仿宋_GB2312" w:hAnsi="仿宋_GB2312" w:cs="仿宋_GB2312" w:hint="eastAsia"/>
                <w:sz w:val="24"/>
              </w:rPr>
              <w:t>1</w:t>
            </w:r>
          </w:p>
        </w:tc>
        <w:tc>
          <w:tcPr>
            <w:tcW w:w="1134" w:type="dxa"/>
            <w:vAlign w:val="center"/>
          </w:tcPr>
          <w:p w:rsidR="003B21F0" w:rsidRPr="00EB1E75" w:rsidRDefault="003B21F0" w:rsidP="000B4B65">
            <w:pPr>
              <w:spacing w:line="400" w:lineRule="exact"/>
              <w:jc w:val="center"/>
              <w:rPr>
                <w:rFonts w:ascii="仿宋_GB2312" w:eastAsia="仿宋_GB2312" w:hAnsi="仿宋_GB2312" w:cs="仿宋_GB2312" w:hint="eastAsia"/>
                <w:sz w:val="24"/>
              </w:rPr>
            </w:pPr>
            <w:r w:rsidRPr="00EB1E75">
              <w:rPr>
                <w:rFonts w:ascii="仿宋_GB2312" w:eastAsia="仿宋_GB2312" w:hAnsi="仿宋_GB2312" w:cs="仿宋_GB2312" w:hint="eastAsia"/>
                <w:sz w:val="24"/>
              </w:rPr>
              <w:t>5</w:t>
            </w:r>
          </w:p>
        </w:tc>
      </w:tr>
      <w:tr w:rsidR="003B21F0" w:rsidRPr="00BF4554" w:rsidTr="000B4B65">
        <w:trPr>
          <w:trHeight w:val="602"/>
          <w:jc w:val="center"/>
        </w:trPr>
        <w:tc>
          <w:tcPr>
            <w:tcW w:w="456" w:type="dxa"/>
            <w:vMerge/>
            <w:shd w:val="clear" w:color="auto" w:fill="auto"/>
            <w:vAlign w:val="center"/>
          </w:tcPr>
          <w:p w:rsidR="003B21F0" w:rsidRPr="00EB1E75" w:rsidRDefault="003B21F0" w:rsidP="000B4B65">
            <w:pPr>
              <w:spacing w:line="400" w:lineRule="exact"/>
              <w:jc w:val="center"/>
              <w:rPr>
                <w:rFonts w:ascii="仿宋_GB2312" w:eastAsia="仿宋_GB2312" w:hAnsi="仿宋_GB2312" w:cs="仿宋_GB2312" w:hint="eastAsia"/>
                <w:sz w:val="24"/>
              </w:rPr>
            </w:pPr>
          </w:p>
        </w:tc>
        <w:tc>
          <w:tcPr>
            <w:tcW w:w="456" w:type="dxa"/>
            <w:vMerge w:val="restart"/>
            <w:vAlign w:val="center"/>
          </w:tcPr>
          <w:p w:rsidR="003B21F0" w:rsidRPr="00EB1E75" w:rsidRDefault="003B21F0" w:rsidP="000B4B65">
            <w:pPr>
              <w:spacing w:line="400" w:lineRule="exact"/>
              <w:jc w:val="center"/>
              <w:rPr>
                <w:rFonts w:ascii="仿宋_GB2312" w:eastAsia="仿宋_GB2312" w:hAnsi="仿宋_GB2312" w:cs="仿宋_GB2312" w:hint="eastAsia"/>
                <w:sz w:val="24"/>
              </w:rPr>
            </w:pPr>
            <w:r w:rsidRPr="00EB1E75">
              <w:rPr>
                <w:rFonts w:ascii="仿宋_GB2312" w:eastAsia="仿宋_GB2312" w:hAnsi="仿宋_GB2312" w:cs="仿宋_GB2312" w:hint="eastAsia"/>
                <w:sz w:val="24"/>
              </w:rPr>
              <w:t>7</w:t>
            </w:r>
          </w:p>
        </w:tc>
        <w:tc>
          <w:tcPr>
            <w:tcW w:w="2844" w:type="dxa"/>
            <w:vMerge w:val="restart"/>
            <w:vAlign w:val="center"/>
          </w:tcPr>
          <w:p w:rsidR="003B21F0" w:rsidRPr="00EB1E75" w:rsidRDefault="003B21F0" w:rsidP="000B4B65">
            <w:pPr>
              <w:spacing w:line="400" w:lineRule="exact"/>
              <w:jc w:val="center"/>
              <w:rPr>
                <w:rFonts w:ascii="仿宋_GB2312" w:eastAsia="仿宋_GB2312" w:hAnsi="仿宋_GB2312" w:cs="仿宋_GB2312" w:hint="eastAsia"/>
                <w:sz w:val="24"/>
              </w:rPr>
            </w:pPr>
            <w:r w:rsidRPr="00EB1E75">
              <w:rPr>
                <w:rFonts w:ascii="仿宋_GB2312" w:eastAsia="仿宋_GB2312" w:hAnsi="仿宋_GB2312" w:cs="仿宋_GB2312" w:hint="eastAsia"/>
                <w:sz w:val="24"/>
              </w:rPr>
              <w:t>礼花弹成品</w:t>
            </w:r>
          </w:p>
        </w:tc>
        <w:tc>
          <w:tcPr>
            <w:tcW w:w="1169" w:type="dxa"/>
            <w:vAlign w:val="center"/>
          </w:tcPr>
          <w:p w:rsidR="003B21F0" w:rsidRPr="00EB1E75" w:rsidRDefault="003B21F0" w:rsidP="000B4B65">
            <w:pPr>
              <w:spacing w:line="400" w:lineRule="exact"/>
              <w:jc w:val="center"/>
              <w:rPr>
                <w:rFonts w:ascii="仿宋_GB2312" w:eastAsia="仿宋_GB2312" w:hAnsi="仿宋_GB2312" w:cs="仿宋_GB2312" w:hint="eastAsia"/>
                <w:sz w:val="24"/>
              </w:rPr>
            </w:pPr>
            <w:r w:rsidRPr="00EB1E75">
              <w:rPr>
                <w:rFonts w:ascii="仿宋_GB2312" w:eastAsia="仿宋_GB2312" w:hAnsi="仿宋_GB2312" w:cs="仿宋_GB2312" w:hint="eastAsia"/>
                <w:sz w:val="24"/>
              </w:rPr>
              <w:t>燃放法(优先)</w:t>
            </w:r>
          </w:p>
        </w:tc>
        <w:tc>
          <w:tcPr>
            <w:tcW w:w="1268" w:type="dxa"/>
            <w:vAlign w:val="center"/>
          </w:tcPr>
          <w:p w:rsidR="003B21F0" w:rsidRPr="00EB1E75" w:rsidRDefault="003B21F0" w:rsidP="000B4B65">
            <w:pPr>
              <w:spacing w:line="400" w:lineRule="exact"/>
              <w:jc w:val="center"/>
              <w:rPr>
                <w:rFonts w:ascii="仿宋_GB2312" w:eastAsia="仿宋_GB2312" w:hAnsi="仿宋_GB2312" w:cs="仿宋_GB2312" w:hint="eastAsia"/>
                <w:sz w:val="24"/>
              </w:rPr>
            </w:pPr>
            <w:r w:rsidRPr="00EB1E75">
              <w:rPr>
                <w:rFonts w:ascii="仿宋_GB2312" w:eastAsia="仿宋_GB2312" w:hAnsi="仿宋_GB2312" w:cs="仿宋_GB2312" w:hint="eastAsia"/>
                <w:sz w:val="24"/>
              </w:rPr>
              <w:t>200</w:t>
            </w:r>
          </w:p>
        </w:tc>
        <w:tc>
          <w:tcPr>
            <w:tcW w:w="1674" w:type="dxa"/>
            <w:vAlign w:val="center"/>
          </w:tcPr>
          <w:p w:rsidR="003B21F0" w:rsidRPr="00EB1E75" w:rsidRDefault="003B21F0" w:rsidP="000B4B65">
            <w:pPr>
              <w:spacing w:line="400" w:lineRule="exact"/>
              <w:jc w:val="center"/>
              <w:rPr>
                <w:rFonts w:ascii="仿宋_GB2312" w:eastAsia="仿宋_GB2312" w:hAnsi="仿宋_GB2312" w:cs="仿宋_GB2312" w:hint="eastAsia"/>
                <w:sz w:val="24"/>
              </w:rPr>
            </w:pPr>
          </w:p>
        </w:tc>
        <w:tc>
          <w:tcPr>
            <w:tcW w:w="1134" w:type="dxa"/>
            <w:vAlign w:val="center"/>
          </w:tcPr>
          <w:p w:rsidR="003B21F0" w:rsidRPr="00EB1E75" w:rsidRDefault="003B21F0" w:rsidP="000B4B65">
            <w:pPr>
              <w:spacing w:line="400" w:lineRule="exact"/>
              <w:jc w:val="center"/>
              <w:rPr>
                <w:rFonts w:ascii="仿宋_GB2312" w:eastAsia="仿宋_GB2312" w:hAnsi="仿宋_GB2312" w:cs="仿宋_GB2312" w:hint="eastAsia"/>
                <w:sz w:val="24"/>
              </w:rPr>
            </w:pPr>
          </w:p>
        </w:tc>
      </w:tr>
      <w:tr w:rsidR="003B21F0" w:rsidRPr="00BF4554" w:rsidTr="000B4B65">
        <w:trPr>
          <w:trHeight w:val="453"/>
          <w:jc w:val="center"/>
        </w:trPr>
        <w:tc>
          <w:tcPr>
            <w:tcW w:w="456" w:type="dxa"/>
            <w:vMerge/>
            <w:shd w:val="clear" w:color="auto" w:fill="auto"/>
            <w:vAlign w:val="center"/>
          </w:tcPr>
          <w:p w:rsidR="003B21F0" w:rsidRPr="00EB1E75" w:rsidRDefault="003B21F0" w:rsidP="000B4B65">
            <w:pPr>
              <w:spacing w:line="400" w:lineRule="exact"/>
              <w:jc w:val="center"/>
              <w:rPr>
                <w:rFonts w:ascii="仿宋_GB2312" w:eastAsia="仿宋_GB2312" w:hAnsi="仿宋_GB2312" w:cs="仿宋_GB2312" w:hint="eastAsia"/>
                <w:sz w:val="24"/>
              </w:rPr>
            </w:pPr>
          </w:p>
        </w:tc>
        <w:tc>
          <w:tcPr>
            <w:tcW w:w="456" w:type="dxa"/>
            <w:vMerge/>
            <w:vAlign w:val="center"/>
          </w:tcPr>
          <w:p w:rsidR="003B21F0" w:rsidRPr="00EB1E75" w:rsidRDefault="003B21F0" w:rsidP="000B4B65">
            <w:pPr>
              <w:spacing w:line="400" w:lineRule="exact"/>
              <w:jc w:val="center"/>
              <w:rPr>
                <w:rFonts w:ascii="仿宋_GB2312" w:eastAsia="仿宋_GB2312" w:hAnsi="仿宋_GB2312" w:cs="仿宋_GB2312" w:hint="eastAsia"/>
                <w:sz w:val="24"/>
              </w:rPr>
            </w:pPr>
          </w:p>
        </w:tc>
        <w:tc>
          <w:tcPr>
            <w:tcW w:w="2844" w:type="dxa"/>
            <w:vMerge/>
            <w:vAlign w:val="center"/>
          </w:tcPr>
          <w:p w:rsidR="003B21F0" w:rsidRPr="00EB1E75" w:rsidRDefault="003B21F0" w:rsidP="000B4B65">
            <w:pPr>
              <w:spacing w:line="400" w:lineRule="exact"/>
              <w:jc w:val="center"/>
              <w:rPr>
                <w:rFonts w:ascii="仿宋_GB2312" w:eastAsia="仿宋_GB2312" w:hAnsi="仿宋_GB2312" w:cs="仿宋_GB2312" w:hint="eastAsia"/>
                <w:sz w:val="24"/>
              </w:rPr>
            </w:pPr>
          </w:p>
        </w:tc>
        <w:tc>
          <w:tcPr>
            <w:tcW w:w="1169" w:type="dxa"/>
            <w:vAlign w:val="center"/>
          </w:tcPr>
          <w:p w:rsidR="003B21F0" w:rsidRPr="00EB1E75" w:rsidRDefault="003B21F0" w:rsidP="000B4B65">
            <w:pPr>
              <w:spacing w:line="400" w:lineRule="exact"/>
              <w:jc w:val="center"/>
              <w:rPr>
                <w:rFonts w:ascii="仿宋_GB2312" w:eastAsia="仿宋_GB2312" w:hAnsi="仿宋_GB2312" w:cs="仿宋_GB2312" w:hint="eastAsia"/>
                <w:sz w:val="24"/>
              </w:rPr>
            </w:pPr>
            <w:r w:rsidRPr="00EB1E75">
              <w:rPr>
                <w:rFonts w:ascii="仿宋_GB2312" w:eastAsia="仿宋_GB2312" w:hAnsi="仿宋_GB2312" w:cs="仿宋_GB2312" w:hint="eastAsia"/>
                <w:sz w:val="24"/>
              </w:rPr>
              <w:t>焚烧法</w:t>
            </w:r>
          </w:p>
        </w:tc>
        <w:tc>
          <w:tcPr>
            <w:tcW w:w="1268" w:type="dxa"/>
            <w:vAlign w:val="center"/>
          </w:tcPr>
          <w:p w:rsidR="003B21F0" w:rsidRPr="00EB1E75" w:rsidRDefault="003B21F0" w:rsidP="000B4B65">
            <w:pPr>
              <w:spacing w:line="400" w:lineRule="exact"/>
              <w:jc w:val="center"/>
              <w:rPr>
                <w:rFonts w:ascii="仿宋_GB2312" w:eastAsia="仿宋_GB2312" w:hAnsi="仿宋_GB2312" w:cs="仿宋_GB2312" w:hint="eastAsia"/>
                <w:sz w:val="24"/>
              </w:rPr>
            </w:pPr>
            <w:r w:rsidRPr="00EB1E75">
              <w:rPr>
                <w:rFonts w:ascii="仿宋_GB2312" w:eastAsia="仿宋_GB2312" w:hAnsi="仿宋_GB2312" w:cs="仿宋_GB2312" w:hint="eastAsia"/>
                <w:sz w:val="24"/>
              </w:rPr>
              <w:t>200</w:t>
            </w:r>
          </w:p>
        </w:tc>
        <w:tc>
          <w:tcPr>
            <w:tcW w:w="1674" w:type="dxa"/>
            <w:vAlign w:val="center"/>
          </w:tcPr>
          <w:p w:rsidR="003B21F0" w:rsidRPr="00EB1E75" w:rsidRDefault="003B21F0" w:rsidP="000B4B65">
            <w:pPr>
              <w:spacing w:line="400" w:lineRule="exact"/>
              <w:jc w:val="center"/>
              <w:rPr>
                <w:rFonts w:ascii="仿宋_GB2312" w:eastAsia="仿宋_GB2312" w:hAnsi="仿宋_GB2312" w:cs="仿宋_GB2312" w:hint="eastAsia"/>
                <w:sz w:val="24"/>
              </w:rPr>
            </w:pPr>
            <w:r w:rsidRPr="00EB1E75">
              <w:rPr>
                <w:rFonts w:ascii="仿宋_GB2312" w:eastAsia="仿宋_GB2312" w:hAnsi="仿宋_GB2312" w:cs="仿宋_GB2312" w:hint="eastAsia"/>
                <w:sz w:val="24"/>
              </w:rPr>
              <w:t>先拆解后按相应类别药物方法要求销毁</w:t>
            </w:r>
          </w:p>
        </w:tc>
        <w:tc>
          <w:tcPr>
            <w:tcW w:w="1134" w:type="dxa"/>
            <w:vAlign w:val="center"/>
          </w:tcPr>
          <w:p w:rsidR="003B21F0" w:rsidRPr="00EB1E75" w:rsidRDefault="003B21F0" w:rsidP="000B4B65">
            <w:pPr>
              <w:spacing w:line="400" w:lineRule="exact"/>
              <w:jc w:val="center"/>
              <w:rPr>
                <w:rFonts w:ascii="仿宋_GB2312" w:eastAsia="仿宋_GB2312" w:hAnsi="仿宋_GB2312" w:cs="仿宋_GB2312" w:hint="eastAsia"/>
                <w:sz w:val="24"/>
              </w:rPr>
            </w:pPr>
          </w:p>
        </w:tc>
      </w:tr>
      <w:tr w:rsidR="003B21F0" w:rsidRPr="00BF4554" w:rsidTr="000B4B65">
        <w:trPr>
          <w:trHeight w:val="623"/>
          <w:jc w:val="center"/>
        </w:trPr>
        <w:tc>
          <w:tcPr>
            <w:tcW w:w="456" w:type="dxa"/>
            <w:vMerge w:val="restart"/>
            <w:vAlign w:val="center"/>
          </w:tcPr>
          <w:p w:rsidR="003B21F0" w:rsidRPr="00EB1E75" w:rsidRDefault="003B21F0" w:rsidP="000B4B65">
            <w:pPr>
              <w:spacing w:line="400" w:lineRule="exact"/>
              <w:jc w:val="center"/>
              <w:rPr>
                <w:rFonts w:ascii="仿宋_GB2312" w:eastAsia="仿宋_GB2312" w:hAnsi="仿宋_GB2312" w:cs="仿宋_GB2312" w:hint="eastAsia"/>
                <w:sz w:val="24"/>
              </w:rPr>
            </w:pPr>
            <w:r w:rsidRPr="00EB1E75">
              <w:rPr>
                <w:rFonts w:ascii="仿宋_GB2312" w:eastAsia="仿宋_GB2312" w:hAnsi="仿宋_GB2312" w:cs="仿宋_GB2312" w:hint="eastAsia"/>
                <w:sz w:val="24"/>
              </w:rPr>
              <w:t>Ⅱ</w:t>
            </w:r>
          </w:p>
          <w:p w:rsidR="003B21F0" w:rsidRPr="00EB1E75" w:rsidRDefault="003B21F0" w:rsidP="000B4B65">
            <w:pPr>
              <w:spacing w:line="400" w:lineRule="exact"/>
              <w:jc w:val="center"/>
              <w:rPr>
                <w:rFonts w:ascii="仿宋_GB2312" w:eastAsia="仿宋_GB2312" w:hAnsi="仿宋_GB2312" w:cs="仿宋_GB2312" w:hint="eastAsia"/>
                <w:sz w:val="24"/>
              </w:rPr>
            </w:pPr>
          </w:p>
          <w:p w:rsidR="003B21F0" w:rsidRPr="00EB1E75" w:rsidRDefault="003B21F0" w:rsidP="000B4B65">
            <w:pPr>
              <w:spacing w:line="400" w:lineRule="exact"/>
              <w:jc w:val="center"/>
              <w:rPr>
                <w:rFonts w:ascii="仿宋_GB2312" w:eastAsia="仿宋_GB2312" w:hAnsi="仿宋_GB2312" w:cs="仿宋_GB2312" w:hint="eastAsia"/>
                <w:sz w:val="24"/>
              </w:rPr>
            </w:pPr>
          </w:p>
          <w:p w:rsidR="003B21F0" w:rsidRPr="00EB1E75" w:rsidRDefault="003B21F0" w:rsidP="000B4B65">
            <w:pPr>
              <w:spacing w:line="400" w:lineRule="exact"/>
              <w:jc w:val="center"/>
              <w:rPr>
                <w:rFonts w:ascii="仿宋_GB2312" w:eastAsia="仿宋_GB2312" w:hAnsi="仿宋_GB2312" w:cs="仿宋_GB2312" w:hint="eastAsia"/>
                <w:sz w:val="24"/>
              </w:rPr>
            </w:pPr>
            <w:r w:rsidRPr="00EB1E75">
              <w:rPr>
                <w:rFonts w:ascii="仿宋_GB2312" w:eastAsia="仿宋_GB2312" w:hAnsi="仿宋_GB2312" w:cs="仿宋_GB2312" w:hint="eastAsia"/>
                <w:sz w:val="24"/>
              </w:rPr>
              <w:t>类</w:t>
            </w:r>
          </w:p>
        </w:tc>
        <w:tc>
          <w:tcPr>
            <w:tcW w:w="456" w:type="dxa"/>
            <w:vMerge w:val="restart"/>
            <w:vAlign w:val="center"/>
          </w:tcPr>
          <w:p w:rsidR="003B21F0" w:rsidRPr="00EB1E75" w:rsidRDefault="003B21F0" w:rsidP="000B4B65">
            <w:pPr>
              <w:spacing w:line="400" w:lineRule="exact"/>
              <w:jc w:val="center"/>
              <w:rPr>
                <w:rFonts w:ascii="仿宋_GB2312" w:eastAsia="仿宋_GB2312" w:hAnsi="仿宋_GB2312" w:cs="仿宋_GB2312" w:hint="eastAsia"/>
                <w:sz w:val="24"/>
              </w:rPr>
            </w:pPr>
            <w:r w:rsidRPr="00EB1E75">
              <w:rPr>
                <w:rFonts w:ascii="仿宋_GB2312" w:eastAsia="仿宋_GB2312" w:hAnsi="仿宋_GB2312" w:cs="仿宋_GB2312" w:hint="eastAsia"/>
                <w:sz w:val="24"/>
              </w:rPr>
              <w:t>1</w:t>
            </w:r>
          </w:p>
        </w:tc>
        <w:tc>
          <w:tcPr>
            <w:tcW w:w="2844" w:type="dxa"/>
            <w:vMerge w:val="restart"/>
            <w:vAlign w:val="center"/>
          </w:tcPr>
          <w:p w:rsidR="003B21F0" w:rsidRPr="00EB1E75" w:rsidRDefault="003B21F0" w:rsidP="000B4B65">
            <w:pPr>
              <w:spacing w:line="400" w:lineRule="exact"/>
              <w:jc w:val="center"/>
              <w:rPr>
                <w:rFonts w:ascii="仿宋_GB2312" w:eastAsia="仿宋_GB2312" w:hAnsi="仿宋_GB2312" w:cs="仿宋_GB2312" w:hint="eastAsia"/>
                <w:sz w:val="24"/>
              </w:rPr>
            </w:pPr>
            <w:r w:rsidRPr="00EB1E75">
              <w:rPr>
                <w:rFonts w:ascii="仿宋_GB2312" w:eastAsia="仿宋_GB2312" w:hAnsi="仿宋_GB2312" w:cs="仿宋_GB2312" w:hint="eastAsia"/>
                <w:sz w:val="24"/>
              </w:rPr>
              <w:t>升空类成品、C级组合烟花成品</w:t>
            </w:r>
          </w:p>
        </w:tc>
        <w:tc>
          <w:tcPr>
            <w:tcW w:w="1169" w:type="dxa"/>
            <w:vAlign w:val="center"/>
          </w:tcPr>
          <w:p w:rsidR="003B21F0" w:rsidRPr="00EB1E75" w:rsidRDefault="003B21F0" w:rsidP="000B4B65">
            <w:pPr>
              <w:spacing w:line="400" w:lineRule="exact"/>
              <w:jc w:val="center"/>
              <w:rPr>
                <w:rFonts w:ascii="仿宋_GB2312" w:eastAsia="仿宋_GB2312" w:hAnsi="仿宋_GB2312" w:cs="仿宋_GB2312" w:hint="eastAsia"/>
                <w:sz w:val="24"/>
              </w:rPr>
            </w:pPr>
            <w:r w:rsidRPr="00EB1E75">
              <w:rPr>
                <w:rFonts w:ascii="仿宋_GB2312" w:eastAsia="仿宋_GB2312" w:hAnsi="仿宋_GB2312" w:cs="仿宋_GB2312" w:hint="eastAsia"/>
                <w:sz w:val="24"/>
              </w:rPr>
              <w:t>燃放法(优先)</w:t>
            </w:r>
          </w:p>
        </w:tc>
        <w:tc>
          <w:tcPr>
            <w:tcW w:w="1268" w:type="dxa"/>
            <w:vAlign w:val="center"/>
          </w:tcPr>
          <w:p w:rsidR="003B21F0" w:rsidRPr="00EB1E75" w:rsidRDefault="003B21F0" w:rsidP="000B4B65">
            <w:pPr>
              <w:spacing w:line="400" w:lineRule="exact"/>
              <w:jc w:val="center"/>
              <w:rPr>
                <w:rFonts w:ascii="仿宋_GB2312" w:eastAsia="仿宋_GB2312" w:hAnsi="仿宋_GB2312" w:cs="仿宋_GB2312" w:hint="eastAsia"/>
                <w:sz w:val="24"/>
              </w:rPr>
            </w:pPr>
            <w:r w:rsidRPr="00EB1E75">
              <w:rPr>
                <w:rFonts w:ascii="仿宋_GB2312" w:eastAsia="仿宋_GB2312" w:hAnsi="仿宋_GB2312" w:cs="仿宋_GB2312" w:hint="eastAsia"/>
                <w:sz w:val="24"/>
              </w:rPr>
              <w:t>500</w:t>
            </w:r>
          </w:p>
        </w:tc>
        <w:tc>
          <w:tcPr>
            <w:tcW w:w="1674" w:type="dxa"/>
            <w:vAlign w:val="center"/>
          </w:tcPr>
          <w:p w:rsidR="003B21F0" w:rsidRPr="00EB1E75" w:rsidRDefault="003B21F0" w:rsidP="000B4B65">
            <w:pPr>
              <w:spacing w:line="400" w:lineRule="exact"/>
              <w:jc w:val="center"/>
              <w:rPr>
                <w:rFonts w:ascii="仿宋_GB2312" w:eastAsia="仿宋_GB2312" w:hAnsi="仿宋_GB2312" w:cs="仿宋_GB2312" w:hint="eastAsia"/>
                <w:sz w:val="24"/>
              </w:rPr>
            </w:pPr>
          </w:p>
        </w:tc>
        <w:tc>
          <w:tcPr>
            <w:tcW w:w="1134" w:type="dxa"/>
            <w:vAlign w:val="center"/>
          </w:tcPr>
          <w:p w:rsidR="003B21F0" w:rsidRPr="00EB1E75" w:rsidRDefault="003B21F0" w:rsidP="000B4B65">
            <w:pPr>
              <w:spacing w:line="400" w:lineRule="exact"/>
              <w:jc w:val="center"/>
              <w:rPr>
                <w:rFonts w:ascii="仿宋_GB2312" w:eastAsia="仿宋_GB2312" w:hAnsi="仿宋_GB2312" w:cs="仿宋_GB2312" w:hint="eastAsia"/>
                <w:sz w:val="24"/>
              </w:rPr>
            </w:pPr>
          </w:p>
        </w:tc>
      </w:tr>
      <w:tr w:rsidR="003B21F0" w:rsidRPr="00BF4554" w:rsidTr="000B4B65">
        <w:trPr>
          <w:trHeight w:val="623"/>
          <w:jc w:val="center"/>
        </w:trPr>
        <w:tc>
          <w:tcPr>
            <w:tcW w:w="456" w:type="dxa"/>
            <w:vMerge/>
            <w:vAlign w:val="center"/>
          </w:tcPr>
          <w:p w:rsidR="003B21F0" w:rsidRPr="00EB1E75" w:rsidRDefault="003B21F0" w:rsidP="000B4B65">
            <w:pPr>
              <w:spacing w:line="400" w:lineRule="exact"/>
              <w:jc w:val="center"/>
              <w:rPr>
                <w:rFonts w:ascii="仿宋_GB2312" w:eastAsia="仿宋_GB2312" w:hAnsi="仿宋_GB2312" w:cs="仿宋_GB2312" w:hint="eastAsia"/>
                <w:sz w:val="24"/>
              </w:rPr>
            </w:pPr>
          </w:p>
        </w:tc>
        <w:tc>
          <w:tcPr>
            <w:tcW w:w="456" w:type="dxa"/>
            <w:vMerge/>
            <w:vAlign w:val="center"/>
          </w:tcPr>
          <w:p w:rsidR="003B21F0" w:rsidRPr="00EB1E75" w:rsidRDefault="003B21F0" w:rsidP="000B4B65">
            <w:pPr>
              <w:spacing w:line="400" w:lineRule="exact"/>
              <w:jc w:val="center"/>
              <w:rPr>
                <w:rFonts w:ascii="仿宋_GB2312" w:eastAsia="仿宋_GB2312" w:hAnsi="仿宋_GB2312" w:cs="仿宋_GB2312" w:hint="eastAsia"/>
                <w:sz w:val="24"/>
              </w:rPr>
            </w:pPr>
          </w:p>
        </w:tc>
        <w:tc>
          <w:tcPr>
            <w:tcW w:w="2844" w:type="dxa"/>
            <w:vMerge/>
            <w:vAlign w:val="center"/>
          </w:tcPr>
          <w:p w:rsidR="003B21F0" w:rsidRPr="00EB1E75" w:rsidRDefault="003B21F0" w:rsidP="000B4B65">
            <w:pPr>
              <w:spacing w:line="400" w:lineRule="exact"/>
              <w:jc w:val="center"/>
              <w:rPr>
                <w:rFonts w:ascii="仿宋_GB2312" w:eastAsia="仿宋_GB2312" w:hAnsi="仿宋_GB2312" w:cs="仿宋_GB2312" w:hint="eastAsia"/>
                <w:sz w:val="24"/>
              </w:rPr>
            </w:pPr>
          </w:p>
        </w:tc>
        <w:tc>
          <w:tcPr>
            <w:tcW w:w="1169" w:type="dxa"/>
            <w:vAlign w:val="center"/>
          </w:tcPr>
          <w:p w:rsidR="003B21F0" w:rsidRPr="00EB1E75" w:rsidRDefault="003B21F0" w:rsidP="000B4B65">
            <w:pPr>
              <w:spacing w:line="400" w:lineRule="exact"/>
              <w:jc w:val="center"/>
              <w:rPr>
                <w:rFonts w:ascii="仿宋_GB2312" w:eastAsia="仿宋_GB2312" w:hAnsi="仿宋_GB2312" w:cs="仿宋_GB2312" w:hint="eastAsia"/>
                <w:sz w:val="24"/>
              </w:rPr>
            </w:pPr>
            <w:r w:rsidRPr="00EB1E75">
              <w:rPr>
                <w:rFonts w:ascii="仿宋_GB2312" w:eastAsia="仿宋_GB2312" w:hAnsi="仿宋_GB2312" w:cs="仿宋_GB2312" w:hint="eastAsia"/>
                <w:sz w:val="24"/>
              </w:rPr>
              <w:t>户外焚烧法</w:t>
            </w:r>
          </w:p>
        </w:tc>
        <w:tc>
          <w:tcPr>
            <w:tcW w:w="1268" w:type="dxa"/>
            <w:vAlign w:val="center"/>
          </w:tcPr>
          <w:p w:rsidR="003B21F0" w:rsidRPr="00EB1E75" w:rsidRDefault="003B21F0" w:rsidP="000B4B65">
            <w:pPr>
              <w:spacing w:line="400" w:lineRule="exact"/>
              <w:jc w:val="center"/>
              <w:rPr>
                <w:rFonts w:ascii="仿宋_GB2312" w:eastAsia="仿宋_GB2312" w:hAnsi="仿宋_GB2312" w:cs="仿宋_GB2312" w:hint="eastAsia"/>
                <w:sz w:val="24"/>
              </w:rPr>
            </w:pPr>
            <w:r w:rsidRPr="00EB1E75">
              <w:rPr>
                <w:rFonts w:ascii="仿宋_GB2312" w:eastAsia="仿宋_GB2312" w:hAnsi="仿宋_GB2312" w:cs="仿宋_GB2312" w:hint="eastAsia"/>
                <w:sz w:val="24"/>
              </w:rPr>
              <w:t>1000</w:t>
            </w:r>
          </w:p>
        </w:tc>
        <w:tc>
          <w:tcPr>
            <w:tcW w:w="1674" w:type="dxa"/>
            <w:vAlign w:val="center"/>
          </w:tcPr>
          <w:p w:rsidR="003B21F0" w:rsidRPr="00EB1E75" w:rsidRDefault="003B21F0" w:rsidP="000B4B65">
            <w:pPr>
              <w:spacing w:line="400" w:lineRule="exact"/>
              <w:jc w:val="center"/>
              <w:rPr>
                <w:rFonts w:ascii="仿宋_GB2312" w:eastAsia="仿宋_GB2312" w:hAnsi="仿宋_GB2312" w:cs="仿宋_GB2312" w:hint="eastAsia"/>
                <w:sz w:val="24"/>
              </w:rPr>
            </w:pPr>
            <w:r w:rsidRPr="00EB1E75">
              <w:rPr>
                <w:rFonts w:ascii="仿宋_GB2312" w:eastAsia="仿宋_GB2312" w:hAnsi="仿宋_GB2312" w:cs="仿宋_GB2312" w:hint="eastAsia"/>
                <w:sz w:val="24"/>
              </w:rPr>
              <w:t>10(高度或直径≥10厘米的产品为单个产品高度)</w:t>
            </w:r>
          </w:p>
        </w:tc>
        <w:tc>
          <w:tcPr>
            <w:tcW w:w="1134" w:type="dxa"/>
            <w:vAlign w:val="center"/>
          </w:tcPr>
          <w:p w:rsidR="003B21F0" w:rsidRPr="00EB1E75" w:rsidRDefault="003B21F0" w:rsidP="000B4B65">
            <w:pPr>
              <w:spacing w:line="400" w:lineRule="exact"/>
              <w:jc w:val="center"/>
              <w:rPr>
                <w:rFonts w:ascii="仿宋_GB2312" w:eastAsia="仿宋_GB2312" w:hAnsi="仿宋_GB2312" w:cs="仿宋_GB2312" w:hint="eastAsia"/>
                <w:sz w:val="24"/>
              </w:rPr>
            </w:pPr>
            <w:r w:rsidRPr="00EB1E75">
              <w:rPr>
                <w:rFonts w:ascii="仿宋_GB2312" w:eastAsia="仿宋_GB2312" w:hAnsi="仿宋_GB2312" w:cs="仿宋_GB2312" w:hint="eastAsia"/>
                <w:sz w:val="24"/>
              </w:rPr>
              <w:t>200</w:t>
            </w:r>
          </w:p>
        </w:tc>
      </w:tr>
      <w:tr w:rsidR="003B21F0" w:rsidRPr="00BF4554" w:rsidTr="000B4B65">
        <w:trPr>
          <w:trHeight w:val="753"/>
          <w:jc w:val="center"/>
        </w:trPr>
        <w:tc>
          <w:tcPr>
            <w:tcW w:w="456" w:type="dxa"/>
            <w:vMerge/>
            <w:vAlign w:val="center"/>
          </w:tcPr>
          <w:p w:rsidR="003B21F0" w:rsidRPr="00EB1E75" w:rsidRDefault="003B21F0" w:rsidP="000B4B65">
            <w:pPr>
              <w:spacing w:line="400" w:lineRule="exact"/>
              <w:jc w:val="center"/>
              <w:rPr>
                <w:rFonts w:ascii="仿宋_GB2312" w:eastAsia="仿宋_GB2312" w:hAnsi="仿宋_GB2312" w:cs="仿宋_GB2312" w:hint="eastAsia"/>
                <w:sz w:val="24"/>
              </w:rPr>
            </w:pPr>
          </w:p>
        </w:tc>
        <w:tc>
          <w:tcPr>
            <w:tcW w:w="456" w:type="dxa"/>
            <w:vAlign w:val="center"/>
          </w:tcPr>
          <w:p w:rsidR="003B21F0" w:rsidRPr="00EB1E75" w:rsidRDefault="003B21F0" w:rsidP="000B4B65">
            <w:pPr>
              <w:spacing w:line="400" w:lineRule="exact"/>
              <w:jc w:val="center"/>
              <w:rPr>
                <w:rFonts w:ascii="仿宋_GB2312" w:eastAsia="仿宋_GB2312" w:hAnsi="仿宋_GB2312" w:cs="仿宋_GB2312" w:hint="eastAsia"/>
                <w:sz w:val="24"/>
              </w:rPr>
            </w:pPr>
            <w:r w:rsidRPr="00EB1E75">
              <w:rPr>
                <w:rFonts w:ascii="仿宋_GB2312" w:eastAsia="仿宋_GB2312" w:hAnsi="仿宋_GB2312" w:cs="仿宋_GB2312" w:hint="eastAsia"/>
                <w:sz w:val="24"/>
              </w:rPr>
              <w:t>2</w:t>
            </w:r>
          </w:p>
        </w:tc>
        <w:tc>
          <w:tcPr>
            <w:tcW w:w="2844" w:type="dxa"/>
            <w:vAlign w:val="center"/>
          </w:tcPr>
          <w:p w:rsidR="003B21F0" w:rsidRPr="00EB1E75" w:rsidRDefault="003B21F0" w:rsidP="000B4B65">
            <w:pPr>
              <w:spacing w:line="400" w:lineRule="exact"/>
              <w:jc w:val="center"/>
              <w:rPr>
                <w:rFonts w:ascii="仿宋_GB2312" w:eastAsia="仿宋_GB2312" w:hAnsi="仿宋_GB2312" w:cs="仿宋_GB2312" w:hint="eastAsia"/>
                <w:sz w:val="24"/>
              </w:rPr>
            </w:pPr>
            <w:r w:rsidRPr="00EB1E75">
              <w:rPr>
                <w:rFonts w:ascii="仿宋_GB2312" w:eastAsia="仿宋_GB2312" w:hAnsi="仿宋_GB2312" w:cs="仿宋_GB2312" w:hint="eastAsia"/>
                <w:sz w:val="24"/>
              </w:rPr>
              <w:t>喷花类成品、架子烟花；其他C、D级成品（不含升空类、C级组合烟花）</w:t>
            </w:r>
          </w:p>
        </w:tc>
        <w:tc>
          <w:tcPr>
            <w:tcW w:w="1169" w:type="dxa"/>
            <w:vAlign w:val="center"/>
          </w:tcPr>
          <w:p w:rsidR="003B21F0" w:rsidRPr="00EB1E75" w:rsidRDefault="003B21F0" w:rsidP="000B4B65">
            <w:pPr>
              <w:spacing w:line="400" w:lineRule="exact"/>
              <w:jc w:val="center"/>
              <w:rPr>
                <w:rFonts w:ascii="仿宋_GB2312" w:eastAsia="仿宋_GB2312" w:hAnsi="仿宋_GB2312" w:cs="仿宋_GB2312" w:hint="eastAsia"/>
                <w:sz w:val="24"/>
              </w:rPr>
            </w:pPr>
            <w:r w:rsidRPr="00EB1E75">
              <w:rPr>
                <w:rFonts w:ascii="仿宋_GB2312" w:eastAsia="仿宋_GB2312" w:hAnsi="仿宋_GB2312" w:cs="仿宋_GB2312" w:hint="eastAsia"/>
                <w:sz w:val="24"/>
              </w:rPr>
              <w:t>户外焚烧法</w:t>
            </w:r>
          </w:p>
        </w:tc>
        <w:tc>
          <w:tcPr>
            <w:tcW w:w="1268" w:type="dxa"/>
            <w:vAlign w:val="center"/>
          </w:tcPr>
          <w:p w:rsidR="003B21F0" w:rsidRPr="00EB1E75" w:rsidRDefault="003B21F0" w:rsidP="000B4B65">
            <w:pPr>
              <w:spacing w:line="400" w:lineRule="exact"/>
              <w:jc w:val="center"/>
              <w:rPr>
                <w:rFonts w:ascii="仿宋_GB2312" w:eastAsia="仿宋_GB2312" w:hAnsi="仿宋_GB2312" w:cs="仿宋_GB2312" w:hint="eastAsia"/>
                <w:sz w:val="24"/>
              </w:rPr>
            </w:pPr>
            <w:r w:rsidRPr="00EB1E75">
              <w:rPr>
                <w:rFonts w:ascii="仿宋_GB2312" w:eastAsia="仿宋_GB2312" w:hAnsi="仿宋_GB2312" w:cs="仿宋_GB2312" w:hint="eastAsia"/>
                <w:sz w:val="24"/>
              </w:rPr>
              <w:t>1000</w:t>
            </w:r>
          </w:p>
        </w:tc>
        <w:tc>
          <w:tcPr>
            <w:tcW w:w="1674" w:type="dxa"/>
            <w:vAlign w:val="center"/>
          </w:tcPr>
          <w:p w:rsidR="003B21F0" w:rsidRPr="00EB1E75" w:rsidRDefault="003B21F0" w:rsidP="000B4B65">
            <w:pPr>
              <w:spacing w:line="400" w:lineRule="exact"/>
              <w:jc w:val="center"/>
              <w:rPr>
                <w:rFonts w:ascii="仿宋_GB2312" w:eastAsia="仿宋_GB2312" w:hAnsi="仿宋_GB2312" w:cs="仿宋_GB2312" w:hint="eastAsia"/>
                <w:sz w:val="24"/>
              </w:rPr>
            </w:pPr>
            <w:r w:rsidRPr="00EB1E75">
              <w:rPr>
                <w:rFonts w:ascii="仿宋_GB2312" w:eastAsia="仿宋_GB2312" w:hAnsi="仿宋_GB2312" w:cs="仿宋_GB2312" w:hint="eastAsia"/>
                <w:sz w:val="24"/>
              </w:rPr>
              <w:t>10(高度或直径≥10厘米的产品为单个产品高度)</w:t>
            </w:r>
          </w:p>
        </w:tc>
        <w:tc>
          <w:tcPr>
            <w:tcW w:w="1134" w:type="dxa"/>
            <w:vAlign w:val="center"/>
          </w:tcPr>
          <w:p w:rsidR="003B21F0" w:rsidRPr="00EB1E75" w:rsidRDefault="003B21F0" w:rsidP="000B4B65">
            <w:pPr>
              <w:spacing w:line="400" w:lineRule="exact"/>
              <w:jc w:val="center"/>
              <w:rPr>
                <w:rFonts w:ascii="仿宋_GB2312" w:eastAsia="仿宋_GB2312" w:hAnsi="仿宋_GB2312" w:cs="仿宋_GB2312" w:hint="eastAsia"/>
                <w:sz w:val="24"/>
              </w:rPr>
            </w:pPr>
            <w:r w:rsidRPr="00EB1E75">
              <w:rPr>
                <w:rFonts w:ascii="仿宋_GB2312" w:eastAsia="仿宋_GB2312" w:hAnsi="仿宋_GB2312" w:cs="仿宋_GB2312" w:hint="eastAsia"/>
                <w:sz w:val="24"/>
              </w:rPr>
              <w:t>200</w:t>
            </w:r>
          </w:p>
        </w:tc>
      </w:tr>
      <w:tr w:rsidR="003B21F0" w:rsidRPr="00BF4554" w:rsidTr="000B4B65">
        <w:trPr>
          <w:trHeight w:val="1515"/>
          <w:jc w:val="center"/>
        </w:trPr>
        <w:tc>
          <w:tcPr>
            <w:tcW w:w="456" w:type="dxa"/>
            <w:vMerge/>
            <w:vAlign w:val="center"/>
          </w:tcPr>
          <w:p w:rsidR="003B21F0" w:rsidRPr="00EB1E75" w:rsidRDefault="003B21F0" w:rsidP="000B4B65">
            <w:pPr>
              <w:spacing w:line="400" w:lineRule="exact"/>
              <w:jc w:val="center"/>
              <w:rPr>
                <w:rFonts w:ascii="仿宋_GB2312" w:eastAsia="仿宋_GB2312" w:hAnsi="仿宋_GB2312" w:cs="仿宋_GB2312" w:hint="eastAsia"/>
                <w:sz w:val="24"/>
              </w:rPr>
            </w:pPr>
          </w:p>
        </w:tc>
        <w:tc>
          <w:tcPr>
            <w:tcW w:w="456" w:type="dxa"/>
            <w:vAlign w:val="center"/>
          </w:tcPr>
          <w:p w:rsidR="003B21F0" w:rsidRPr="00EB1E75" w:rsidRDefault="003B21F0" w:rsidP="000B4B65">
            <w:pPr>
              <w:spacing w:line="400" w:lineRule="exact"/>
              <w:jc w:val="center"/>
              <w:rPr>
                <w:rFonts w:ascii="仿宋_GB2312" w:eastAsia="仿宋_GB2312" w:hAnsi="仿宋_GB2312" w:cs="仿宋_GB2312" w:hint="eastAsia"/>
                <w:sz w:val="24"/>
              </w:rPr>
            </w:pPr>
            <w:r w:rsidRPr="00EB1E75">
              <w:rPr>
                <w:rFonts w:ascii="仿宋_GB2312" w:eastAsia="仿宋_GB2312" w:hAnsi="仿宋_GB2312" w:cs="仿宋_GB2312" w:hint="eastAsia"/>
                <w:sz w:val="24"/>
              </w:rPr>
              <w:t>3</w:t>
            </w:r>
          </w:p>
        </w:tc>
        <w:tc>
          <w:tcPr>
            <w:tcW w:w="2844" w:type="dxa"/>
            <w:vAlign w:val="center"/>
          </w:tcPr>
          <w:p w:rsidR="003B21F0" w:rsidRPr="00EB1E75" w:rsidRDefault="003B21F0" w:rsidP="000B4B65">
            <w:pPr>
              <w:spacing w:line="400" w:lineRule="exact"/>
              <w:jc w:val="center"/>
              <w:rPr>
                <w:rFonts w:ascii="仿宋_GB2312" w:eastAsia="仿宋_GB2312" w:hAnsi="仿宋_GB2312" w:cs="仿宋_GB2312" w:hint="eastAsia"/>
                <w:sz w:val="24"/>
              </w:rPr>
            </w:pPr>
            <w:r w:rsidRPr="00EB1E75">
              <w:rPr>
                <w:rFonts w:ascii="仿宋_GB2312" w:eastAsia="仿宋_GB2312" w:hAnsi="仿宋_GB2312" w:cs="仿宋_GB2312" w:hint="eastAsia"/>
                <w:sz w:val="24"/>
              </w:rPr>
              <w:t>电点火头；单个装药量在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40"/>
                <w:attr w:name="UnitName" w:val="克"/>
              </w:smartTagPr>
              <w:r w:rsidRPr="00EB1E75">
                <w:rPr>
                  <w:rFonts w:ascii="仿宋_GB2312" w:eastAsia="仿宋_GB2312" w:hAnsi="仿宋_GB2312" w:cs="仿宋_GB2312" w:hint="eastAsia"/>
                  <w:sz w:val="24"/>
                </w:rPr>
                <w:t>40克</w:t>
              </w:r>
            </w:smartTag>
            <w:r w:rsidRPr="00EB1E75">
              <w:rPr>
                <w:rFonts w:ascii="仿宋_GB2312" w:eastAsia="仿宋_GB2312" w:hAnsi="仿宋_GB2312" w:cs="仿宋_GB2312" w:hint="eastAsia"/>
                <w:sz w:val="24"/>
              </w:rPr>
              <w:t>以下已封口烟花半成品（不含笛音剂、爆炸音剂）；已封口爆竹半成品</w:t>
            </w:r>
          </w:p>
        </w:tc>
        <w:tc>
          <w:tcPr>
            <w:tcW w:w="1169" w:type="dxa"/>
            <w:vAlign w:val="center"/>
          </w:tcPr>
          <w:p w:rsidR="003B21F0" w:rsidRPr="00EB1E75" w:rsidRDefault="003B21F0" w:rsidP="000B4B65">
            <w:pPr>
              <w:spacing w:line="400" w:lineRule="exact"/>
              <w:jc w:val="center"/>
              <w:rPr>
                <w:rFonts w:ascii="仿宋_GB2312" w:eastAsia="仿宋_GB2312" w:hAnsi="仿宋_GB2312" w:cs="仿宋_GB2312" w:hint="eastAsia"/>
                <w:sz w:val="24"/>
              </w:rPr>
            </w:pPr>
            <w:r w:rsidRPr="00EB1E75">
              <w:rPr>
                <w:rFonts w:ascii="仿宋_GB2312" w:eastAsia="仿宋_GB2312" w:hAnsi="仿宋_GB2312" w:cs="仿宋_GB2312" w:hint="eastAsia"/>
                <w:sz w:val="24"/>
              </w:rPr>
              <w:t>户外焚烧法  (添加助燃物)</w:t>
            </w:r>
          </w:p>
        </w:tc>
        <w:tc>
          <w:tcPr>
            <w:tcW w:w="1268" w:type="dxa"/>
            <w:vAlign w:val="center"/>
          </w:tcPr>
          <w:p w:rsidR="003B21F0" w:rsidRPr="00EB1E75" w:rsidRDefault="003B21F0" w:rsidP="000B4B65">
            <w:pPr>
              <w:spacing w:line="400" w:lineRule="exact"/>
              <w:jc w:val="center"/>
              <w:rPr>
                <w:rFonts w:ascii="仿宋_GB2312" w:eastAsia="仿宋_GB2312" w:hAnsi="仿宋_GB2312" w:cs="仿宋_GB2312" w:hint="eastAsia"/>
                <w:sz w:val="24"/>
              </w:rPr>
            </w:pPr>
            <w:r w:rsidRPr="00EB1E75">
              <w:rPr>
                <w:rFonts w:ascii="仿宋_GB2312" w:eastAsia="仿宋_GB2312" w:hAnsi="仿宋_GB2312" w:cs="仿宋_GB2312" w:hint="eastAsia"/>
                <w:sz w:val="24"/>
              </w:rPr>
              <w:t>1000</w:t>
            </w:r>
          </w:p>
        </w:tc>
        <w:tc>
          <w:tcPr>
            <w:tcW w:w="1674" w:type="dxa"/>
            <w:vAlign w:val="center"/>
          </w:tcPr>
          <w:p w:rsidR="003B21F0" w:rsidRPr="00EB1E75" w:rsidRDefault="003B21F0" w:rsidP="000B4B65">
            <w:pPr>
              <w:spacing w:line="400" w:lineRule="exact"/>
              <w:jc w:val="center"/>
              <w:rPr>
                <w:rFonts w:ascii="仿宋_GB2312" w:eastAsia="仿宋_GB2312" w:hAnsi="仿宋_GB2312" w:cs="仿宋_GB2312" w:hint="eastAsia"/>
                <w:sz w:val="24"/>
              </w:rPr>
            </w:pPr>
            <w:r w:rsidRPr="00EB1E75">
              <w:rPr>
                <w:rFonts w:ascii="仿宋_GB2312" w:eastAsia="仿宋_GB2312" w:hAnsi="仿宋_GB2312" w:cs="仿宋_GB2312" w:hint="eastAsia"/>
                <w:sz w:val="24"/>
              </w:rPr>
              <w:t>10</w:t>
            </w:r>
          </w:p>
        </w:tc>
        <w:tc>
          <w:tcPr>
            <w:tcW w:w="1134" w:type="dxa"/>
            <w:vAlign w:val="center"/>
          </w:tcPr>
          <w:p w:rsidR="003B21F0" w:rsidRPr="00EB1E75" w:rsidRDefault="003B21F0" w:rsidP="000B4B65">
            <w:pPr>
              <w:spacing w:line="400" w:lineRule="exact"/>
              <w:jc w:val="center"/>
              <w:rPr>
                <w:rFonts w:ascii="仿宋_GB2312" w:eastAsia="仿宋_GB2312" w:hAnsi="仿宋_GB2312" w:cs="仿宋_GB2312" w:hint="eastAsia"/>
                <w:sz w:val="24"/>
              </w:rPr>
            </w:pPr>
            <w:r w:rsidRPr="00EB1E75">
              <w:rPr>
                <w:rFonts w:ascii="仿宋_GB2312" w:eastAsia="仿宋_GB2312" w:hAnsi="仿宋_GB2312" w:cs="仿宋_GB2312" w:hint="eastAsia"/>
                <w:sz w:val="24"/>
              </w:rPr>
              <w:t>200</w:t>
            </w:r>
          </w:p>
        </w:tc>
      </w:tr>
    </w:tbl>
    <w:p w:rsidR="003B21F0" w:rsidRPr="003B21F0" w:rsidRDefault="003B21F0" w:rsidP="003B21F0">
      <w:pPr>
        <w:wordWrap w:val="0"/>
        <w:adjustRightInd w:val="0"/>
        <w:snapToGrid w:val="0"/>
        <w:spacing w:beforeLines="100" w:before="240" w:afterLines="50" w:after="120"/>
        <w:jc w:val="right"/>
        <w:rPr>
          <w:rFonts w:ascii="黑体" w:eastAsia="黑体" w:hAnsi="黑体" w:cs="黑体" w:hint="eastAsia"/>
          <w:sz w:val="24"/>
        </w:rPr>
      </w:pPr>
      <w:r w:rsidRPr="003B21F0">
        <w:rPr>
          <w:rFonts w:ascii="黑体" w:eastAsia="黑体" w:hAnsi="黑体" w:cs="黑体" w:hint="eastAsia"/>
          <w:sz w:val="24"/>
        </w:rPr>
        <w:t>续表</w:t>
      </w:r>
      <w:r>
        <w:rPr>
          <w:rFonts w:ascii="黑体" w:eastAsia="黑体" w:hAnsi="黑体" w:cs="黑体" w:hint="eastAsia"/>
          <w:sz w:val="24"/>
        </w:rPr>
        <w:t xml:space="preserve"> </w:t>
      </w:r>
    </w:p>
    <w:tbl>
      <w:tblPr>
        <w:tblW w:w="4876" w:type="pct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6"/>
        <w:gridCol w:w="456"/>
        <w:gridCol w:w="2844"/>
        <w:gridCol w:w="1169"/>
        <w:gridCol w:w="1268"/>
        <w:gridCol w:w="1674"/>
        <w:gridCol w:w="1134"/>
      </w:tblGrid>
      <w:tr w:rsidR="003B21F0" w:rsidRPr="00BF4554" w:rsidTr="000B4B65">
        <w:trPr>
          <w:trHeight w:val="739"/>
          <w:jc w:val="center"/>
        </w:trPr>
        <w:tc>
          <w:tcPr>
            <w:tcW w:w="456" w:type="dxa"/>
            <w:vAlign w:val="center"/>
          </w:tcPr>
          <w:p w:rsidR="003B21F0" w:rsidRPr="00EB1E75" w:rsidRDefault="003B21F0" w:rsidP="000B4B65">
            <w:pPr>
              <w:spacing w:line="400" w:lineRule="exact"/>
              <w:jc w:val="center"/>
              <w:rPr>
                <w:rFonts w:ascii="仿宋_GB2312" w:eastAsia="仿宋_GB2312" w:hAnsi="仿宋_GB2312" w:cs="仿宋_GB2312" w:hint="eastAsia"/>
                <w:sz w:val="24"/>
              </w:rPr>
            </w:pPr>
            <w:r w:rsidRPr="00EB1E75">
              <w:rPr>
                <w:rFonts w:ascii="仿宋_GB2312" w:eastAsia="仿宋_GB2312" w:hAnsi="仿宋_GB2312" w:cs="仿宋_GB2312" w:hint="eastAsia"/>
                <w:sz w:val="24"/>
              </w:rPr>
              <w:t>分类</w:t>
            </w:r>
          </w:p>
        </w:tc>
        <w:tc>
          <w:tcPr>
            <w:tcW w:w="456" w:type="dxa"/>
            <w:vAlign w:val="center"/>
          </w:tcPr>
          <w:p w:rsidR="003B21F0" w:rsidRPr="00EB1E75" w:rsidRDefault="003B21F0" w:rsidP="000B4B65">
            <w:pPr>
              <w:spacing w:line="400" w:lineRule="exact"/>
              <w:jc w:val="center"/>
              <w:rPr>
                <w:rFonts w:ascii="仿宋_GB2312" w:eastAsia="仿宋_GB2312" w:hAnsi="仿宋_GB2312" w:cs="仿宋_GB2312" w:hint="eastAsia"/>
                <w:sz w:val="24"/>
              </w:rPr>
            </w:pPr>
            <w:r w:rsidRPr="00EB1E75">
              <w:rPr>
                <w:rFonts w:ascii="仿宋_GB2312" w:eastAsia="仿宋_GB2312" w:hAnsi="仿宋_GB2312" w:cs="仿宋_GB2312" w:hint="eastAsia"/>
                <w:sz w:val="24"/>
              </w:rPr>
              <w:t>序号</w:t>
            </w:r>
          </w:p>
        </w:tc>
        <w:tc>
          <w:tcPr>
            <w:tcW w:w="2844" w:type="dxa"/>
            <w:vAlign w:val="center"/>
          </w:tcPr>
          <w:p w:rsidR="003B21F0" w:rsidRPr="00EB1E75" w:rsidRDefault="003B21F0" w:rsidP="000B4B65">
            <w:pPr>
              <w:spacing w:line="400" w:lineRule="exact"/>
              <w:jc w:val="center"/>
              <w:rPr>
                <w:rFonts w:ascii="仿宋_GB2312" w:eastAsia="仿宋_GB2312" w:hAnsi="仿宋_GB2312" w:cs="仿宋_GB2312" w:hint="eastAsia"/>
                <w:sz w:val="24"/>
              </w:rPr>
            </w:pPr>
            <w:r w:rsidRPr="00EB1E75">
              <w:rPr>
                <w:rFonts w:ascii="仿宋_GB2312" w:eastAsia="仿宋_GB2312" w:hAnsi="仿宋_GB2312" w:cs="仿宋_GB2312" w:hint="eastAsia"/>
                <w:sz w:val="24"/>
              </w:rPr>
              <w:t>待销毁烟花爆竹种类</w:t>
            </w:r>
          </w:p>
        </w:tc>
        <w:tc>
          <w:tcPr>
            <w:tcW w:w="1169" w:type="dxa"/>
            <w:vAlign w:val="center"/>
          </w:tcPr>
          <w:p w:rsidR="003B21F0" w:rsidRPr="00EB1E75" w:rsidRDefault="003B21F0" w:rsidP="000B4B65">
            <w:pPr>
              <w:spacing w:line="400" w:lineRule="exact"/>
              <w:jc w:val="center"/>
              <w:rPr>
                <w:rFonts w:ascii="仿宋_GB2312" w:eastAsia="仿宋_GB2312" w:hAnsi="仿宋_GB2312" w:cs="仿宋_GB2312" w:hint="eastAsia"/>
                <w:sz w:val="24"/>
              </w:rPr>
            </w:pPr>
            <w:r w:rsidRPr="00EB1E75">
              <w:rPr>
                <w:rFonts w:ascii="仿宋_GB2312" w:eastAsia="仿宋_GB2312" w:hAnsi="仿宋_GB2312" w:cs="仿宋_GB2312" w:hint="eastAsia"/>
                <w:sz w:val="24"/>
              </w:rPr>
              <w:t>销毁</w:t>
            </w:r>
            <w:r w:rsidRPr="00EB1E75">
              <w:rPr>
                <w:rFonts w:ascii="仿宋_GB2312" w:eastAsia="仿宋_GB2312" w:hAnsi="仿宋_GB2312" w:cs="仿宋_GB2312"/>
                <w:sz w:val="24"/>
              </w:rPr>
              <w:br/>
            </w:r>
            <w:r w:rsidRPr="00EB1E75">
              <w:rPr>
                <w:rFonts w:ascii="仿宋_GB2312" w:eastAsia="仿宋_GB2312" w:hAnsi="仿宋_GB2312" w:cs="仿宋_GB2312" w:hint="eastAsia"/>
                <w:sz w:val="24"/>
              </w:rPr>
              <w:t>方法</w:t>
            </w:r>
          </w:p>
        </w:tc>
        <w:tc>
          <w:tcPr>
            <w:tcW w:w="1268" w:type="dxa"/>
            <w:vAlign w:val="center"/>
          </w:tcPr>
          <w:p w:rsidR="003B21F0" w:rsidRPr="00EB1E75" w:rsidRDefault="003B21F0" w:rsidP="000B4B65">
            <w:pPr>
              <w:spacing w:line="400" w:lineRule="exact"/>
              <w:jc w:val="center"/>
              <w:rPr>
                <w:rFonts w:ascii="仿宋_GB2312" w:eastAsia="仿宋_GB2312" w:hAnsi="仿宋_GB2312" w:cs="仿宋_GB2312" w:hint="eastAsia"/>
                <w:sz w:val="24"/>
              </w:rPr>
            </w:pPr>
            <w:r w:rsidRPr="00EB1E75">
              <w:rPr>
                <w:rFonts w:ascii="仿宋_GB2312" w:eastAsia="仿宋_GB2312" w:hAnsi="仿宋_GB2312" w:cs="仿宋_GB2312" w:hint="eastAsia"/>
                <w:sz w:val="24"/>
              </w:rPr>
              <w:t>一次销毁最大药量(公斤)</w:t>
            </w:r>
          </w:p>
        </w:tc>
        <w:tc>
          <w:tcPr>
            <w:tcW w:w="1674" w:type="dxa"/>
            <w:vAlign w:val="center"/>
          </w:tcPr>
          <w:p w:rsidR="003B21F0" w:rsidRPr="00EB1E75" w:rsidRDefault="003B21F0" w:rsidP="000B4B65">
            <w:pPr>
              <w:spacing w:line="400" w:lineRule="exact"/>
              <w:jc w:val="center"/>
              <w:rPr>
                <w:rFonts w:ascii="仿宋_GB2312" w:eastAsia="仿宋_GB2312" w:hAnsi="仿宋_GB2312" w:cs="仿宋_GB2312" w:hint="eastAsia"/>
                <w:sz w:val="24"/>
              </w:rPr>
            </w:pPr>
            <w:r w:rsidRPr="00EB1E75">
              <w:rPr>
                <w:rFonts w:ascii="仿宋_GB2312" w:eastAsia="仿宋_GB2312" w:hAnsi="仿宋_GB2312" w:cs="仿宋_GB2312" w:hint="eastAsia"/>
                <w:sz w:val="24"/>
              </w:rPr>
              <w:t>铺设最</w:t>
            </w:r>
            <w:r w:rsidRPr="00EB1E75">
              <w:rPr>
                <w:rFonts w:ascii="仿宋_GB2312" w:eastAsia="仿宋_GB2312" w:hAnsi="仿宋_GB2312" w:cs="仿宋_GB2312"/>
                <w:sz w:val="24"/>
              </w:rPr>
              <w:br/>
            </w:r>
            <w:r w:rsidRPr="00EB1E75">
              <w:rPr>
                <w:rFonts w:ascii="仿宋_GB2312" w:eastAsia="仿宋_GB2312" w:hAnsi="仿宋_GB2312" w:cs="仿宋_GB2312" w:hint="eastAsia"/>
                <w:sz w:val="24"/>
              </w:rPr>
              <w:t>大厚度</w:t>
            </w:r>
            <w:r w:rsidRPr="00EB1E75">
              <w:rPr>
                <w:rFonts w:ascii="仿宋_GB2312" w:eastAsia="仿宋_GB2312" w:hAnsi="仿宋_GB2312" w:cs="仿宋_GB2312"/>
                <w:sz w:val="24"/>
              </w:rPr>
              <w:br/>
            </w:r>
            <w:r w:rsidRPr="00EB1E75">
              <w:rPr>
                <w:rFonts w:ascii="仿宋_GB2312" w:eastAsia="仿宋_GB2312" w:hAnsi="仿宋_GB2312" w:cs="仿宋_GB2312" w:hint="eastAsia"/>
                <w:sz w:val="24"/>
              </w:rPr>
              <w:t>（厘米）</w:t>
            </w:r>
          </w:p>
        </w:tc>
        <w:tc>
          <w:tcPr>
            <w:tcW w:w="1134" w:type="dxa"/>
            <w:vAlign w:val="center"/>
          </w:tcPr>
          <w:p w:rsidR="003B21F0" w:rsidRPr="00EB1E75" w:rsidRDefault="003B21F0" w:rsidP="000B4B65">
            <w:pPr>
              <w:spacing w:line="400" w:lineRule="exact"/>
              <w:jc w:val="center"/>
              <w:rPr>
                <w:rFonts w:ascii="仿宋_GB2312" w:eastAsia="仿宋_GB2312" w:hAnsi="仿宋_GB2312" w:cs="仿宋_GB2312" w:hint="eastAsia"/>
                <w:sz w:val="24"/>
              </w:rPr>
            </w:pPr>
            <w:r w:rsidRPr="00EB1E75">
              <w:rPr>
                <w:rFonts w:ascii="仿宋_GB2312" w:eastAsia="仿宋_GB2312" w:hAnsi="仿宋_GB2312" w:cs="仿宋_GB2312" w:hint="eastAsia"/>
                <w:sz w:val="24"/>
              </w:rPr>
              <w:t>铺设最大宽度</w:t>
            </w:r>
            <w:r w:rsidRPr="00EB1E75">
              <w:rPr>
                <w:rFonts w:ascii="仿宋_GB2312" w:eastAsia="仿宋_GB2312" w:hAnsi="仿宋_GB2312" w:cs="仿宋_GB2312"/>
                <w:sz w:val="24"/>
              </w:rPr>
              <w:br/>
            </w:r>
            <w:r w:rsidRPr="00EB1E75">
              <w:rPr>
                <w:rFonts w:ascii="仿宋_GB2312" w:eastAsia="仿宋_GB2312" w:hAnsi="仿宋_GB2312" w:cs="仿宋_GB2312" w:hint="eastAsia"/>
                <w:sz w:val="24"/>
              </w:rPr>
              <w:t>（厘米）</w:t>
            </w:r>
          </w:p>
        </w:tc>
      </w:tr>
      <w:tr w:rsidR="003B21F0" w:rsidRPr="00BF4554" w:rsidTr="000B4B65">
        <w:trPr>
          <w:trHeight w:val="883"/>
          <w:jc w:val="center"/>
        </w:trPr>
        <w:tc>
          <w:tcPr>
            <w:tcW w:w="456" w:type="dxa"/>
          </w:tcPr>
          <w:p w:rsidR="003B21F0" w:rsidRPr="00EB1E75" w:rsidRDefault="003B21F0" w:rsidP="000B4B65">
            <w:pPr>
              <w:spacing w:line="400" w:lineRule="exact"/>
              <w:jc w:val="center"/>
              <w:rPr>
                <w:rFonts w:ascii="仿宋_GB2312" w:eastAsia="仿宋_GB2312" w:hAnsi="仿宋_GB2312" w:cs="仿宋_GB2312" w:hint="eastAsia"/>
                <w:sz w:val="24"/>
              </w:rPr>
            </w:pPr>
          </w:p>
        </w:tc>
        <w:tc>
          <w:tcPr>
            <w:tcW w:w="456" w:type="dxa"/>
            <w:vAlign w:val="center"/>
          </w:tcPr>
          <w:p w:rsidR="003B21F0" w:rsidRPr="00EB1E75" w:rsidRDefault="003B21F0" w:rsidP="000B4B65">
            <w:pPr>
              <w:spacing w:line="400" w:lineRule="exact"/>
              <w:jc w:val="center"/>
              <w:rPr>
                <w:rFonts w:ascii="仿宋_GB2312" w:eastAsia="仿宋_GB2312" w:hAnsi="仿宋_GB2312" w:cs="仿宋_GB2312" w:hint="eastAsia"/>
                <w:sz w:val="24"/>
              </w:rPr>
            </w:pPr>
            <w:r w:rsidRPr="00EB1E75">
              <w:rPr>
                <w:rFonts w:ascii="仿宋_GB2312" w:eastAsia="仿宋_GB2312" w:hAnsi="仿宋_GB2312" w:cs="仿宋_GB2312" w:hint="eastAsia"/>
                <w:sz w:val="24"/>
              </w:rPr>
              <w:t>4</w:t>
            </w:r>
          </w:p>
        </w:tc>
        <w:tc>
          <w:tcPr>
            <w:tcW w:w="2844" w:type="dxa"/>
            <w:vAlign w:val="center"/>
          </w:tcPr>
          <w:p w:rsidR="003B21F0" w:rsidRPr="00EB1E75" w:rsidRDefault="003B21F0" w:rsidP="000B4B65">
            <w:pPr>
              <w:spacing w:line="400" w:lineRule="exact"/>
              <w:jc w:val="center"/>
              <w:rPr>
                <w:rFonts w:ascii="仿宋_GB2312" w:eastAsia="仿宋_GB2312" w:hAnsi="仿宋_GB2312" w:cs="仿宋_GB2312" w:hint="eastAsia"/>
                <w:sz w:val="24"/>
              </w:rPr>
            </w:pPr>
            <w:r w:rsidRPr="00EB1E75">
              <w:rPr>
                <w:rFonts w:ascii="仿宋_GB2312" w:eastAsia="仿宋_GB2312" w:hAnsi="仿宋_GB2312" w:cs="仿宋_GB2312" w:hint="eastAsia"/>
                <w:sz w:val="24"/>
              </w:rPr>
              <w:t>化工原材料；湿态(水溶剂)烟火药</w:t>
            </w:r>
          </w:p>
        </w:tc>
        <w:tc>
          <w:tcPr>
            <w:tcW w:w="1169" w:type="dxa"/>
            <w:vAlign w:val="center"/>
          </w:tcPr>
          <w:p w:rsidR="003B21F0" w:rsidRPr="00EB1E75" w:rsidRDefault="003B21F0" w:rsidP="000B4B65">
            <w:pPr>
              <w:spacing w:line="400" w:lineRule="exact"/>
              <w:jc w:val="center"/>
              <w:rPr>
                <w:rFonts w:ascii="仿宋_GB2312" w:eastAsia="仿宋_GB2312" w:hAnsi="仿宋_GB2312" w:cs="仿宋_GB2312" w:hint="eastAsia"/>
                <w:sz w:val="24"/>
              </w:rPr>
            </w:pPr>
            <w:r w:rsidRPr="00EB1E75">
              <w:rPr>
                <w:rFonts w:ascii="仿宋_GB2312" w:eastAsia="仿宋_GB2312" w:hAnsi="仿宋_GB2312" w:cs="仿宋_GB2312" w:hint="eastAsia"/>
                <w:sz w:val="24"/>
              </w:rPr>
              <w:t>户外焚烧法  (添加助燃物)</w:t>
            </w:r>
          </w:p>
        </w:tc>
        <w:tc>
          <w:tcPr>
            <w:tcW w:w="1268" w:type="dxa"/>
            <w:vAlign w:val="center"/>
          </w:tcPr>
          <w:p w:rsidR="003B21F0" w:rsidRPr="00EB1E75" w:rsidRDefault="003B21F0" w:rsidP="000B4B65">
            <w:pPr>
              <w:spacing w:line="400" w:lineRule="exact"/>
              <w:jc w:val="center"/>
              <w:rPr>
                <w:rFonts w:ascii="仿宋_GB2312" w:eastAsia="仿宋_GB2312" w:hAnsi="仿宋_GB2312" w:cs="仿宋_GB2312" w:hint="eastAsia"/>
                <w:sz w:val="24"/>
              </w:rPr>
            </w:pPr>
            <w:r w:rsidRPr="00EB1E75">
              <w:rPr>
                <w:rFonts w:ascii="仿宋_GB2312" w:eastAsia="仿宋_GB2312" w:hAnsi="仿宋_GB2312" w:cs="仿宋_GB2312" w:hint="eastAsia"/>
                <w:sz w:val="24"/>
              </w:rPr>
              <w:t>500</w:t>
            </w:r>
          </w:p>
        </w:tc>
        <w:tc>
          <w:tcPr>
            <w:tcW w:w="1674" w:type="dxa"/>
            <w:vAlign w:val="center"/>
          </w:tcPr>
          <w:p w:rsidR="003B21F0" w:rsidRPr="00EB1E75" w:rsidRDefault="003B21F0" w:rsidP="000B4B65">
            <w:pPr>
              <w:spacing w:line="400" w:lineRule="exact"/>
              <w:jc w:val="center"/>
              <w:rPr>
                <w:rFonts w:ascii="仿宋_GB2312" w:eastAsia="仿宋_GB2312" w:hAnsi="仿宋_GB2312" w:cs="仿宋_GB2312" w:hint="eastAsia"/>
                <w:sz w:val="24"/>
              </w:rPr>
            </w:pPr>
            <w:r w:rsidRPr="00EB1E75">
              <w:rPr>
                <w:rFonts w:ascii="仿宋_GB2312" w:eastAsia="仿宋_GB2312" w:hAnsi="仿宋_GB2312" w:cs="仿宋_GB2312" w:hint="eastAsia"/>
                <w:sz w:val="24"/>
              </w:rPr>
              <w:t>5（氧化剂、还原剂应分别焚烧）</w:t>
            </w:r>
          </w:p>
        </w:tc>
        <w:tc>
          <w:tcPr>
            <w:tcW w:w="1134" w:type="dxa"/>
            <w:vAlign w:val="center"/>
          </w:tcPr>
          <w:p w:rsidR="003B21F0" w:rsidRPr="00EB1E75" w:rsidRDefault="003B21F0" w:rsidP="000B4B65">
            <w:pPr>
              <w:spacing w:line="400" w:lineRule="exact"/>
              <w:jc w:val="center"/>
              <w:rPr>
                <w:rFonts w:ascii="仿宋_GB2312" w:eastAsia="仿宋_GB2312" w:hAnsi="仿宋_GB2312" w:cs="仿宋_GB2312" w:hint="eastAsia"/>
                <w:sz w:val="24"/>
              </w:rPr>
            </w:pPr>
            <w:r w:rsidRPr="00EB1E75">
              <w:rPr>
                <w:rFonts w:ascii="仿宋_GB2312" w:eastAsia="仿宋_GB2312" w:hAnsi="仿宋_GB2312" w:cs="仿宋_GB2312" w:hint="eastAsia"/>
                <w:sz w:val="24"/>
              </w:rPr>
              <w:t>200</w:t>
            </w:r>
          </w:p>
        </w:tc>
      </w:tr>
    </w:tbl>
    <w:p w:rsidR="00D40455" w:rsidRDefault="003A6D4B" w:rsidP="00652347">
      <w:pPr>
        <w:topLinePunct/>
        <w:adjustRightInd w:val="0"/>
        <w:snapToGrid w:val="0"/>
        <w:spacing w:line="600" w:lineRule="exact"/>
        <w:ind w:firstLineChars="200" w:firstLine="600"/>
        <w:rPr>
          <w:rFonts w:ascii="仿宋_GB2312" w:eastAsia="仿宋_GB2312" w:hAnsi="仿宋_GB2312" w:cs="仿宋_GB2312" w:hint="eastAsia"/>
          <w:sz w:val="30"/>
          <w:szCs w:val="30"/>
        </w:rPr>
      </w:pPr>
      <w:r>
        <w:rPr>
          <w:rFonts w:ascii="仿宋_GB2312" w:eastAsia="仿宋_GB2312" w:hAnsi="仿宋_GB2312" w:cs="仿宋_GB2312" w:hint="eastAsia"/>
          <w:sz w:val="30"/>
          <w:szCs w:val="30"/>
        </w:rPr>
        <w:t>（三）</w:t>
      </w:r>
      <w:r w:rsidR="00D40455" w:rsidRPr="0053713D">
        <w:rPr>
          <w:rFonts w:ascii="仿宋_GB2312" w:eastAsia="仿宋_GB2312" w:hAnsi="仿宋_GB2312" w:cs="仿宋_GB2312" w:hint="eastAsia"/>
          <w:sz w:val="30"/>
          <w:szCs w:val="30"/>
        </w:rPr>
        <w:t>销毁Ⅰ类烟花爆竹，其销毁方案应由</w:t>
      </w:r>
      <w:r w:rsidR="00652347">
        <w:rPr>
          <w:rFonts w:ascii="仿宋_GB2312" w:eastAsia="仿宋_GB2312" w:hAnsi="仿宋_GB2312" w:cs="仿宋_GB2312" w:hint="eastAsia"/>
          <w:sz w:val="30"/>
          <w:szCs w:val="30"/>
        </w:rPr>
        <w:t>3名以上</w:t>
      </w:r>
      <w:r w:rsidR="004A1798" w:rsidRPr="004A1798">
        <w:rPr>
          <w:rFonts w:ascii="仿宋_GB2312" w:eastAsia="仿宋_GB2312" w:hAnsi="仿宋_GB2312" w:cs="仿宋_GB2312" w:hint="eastAsia"/>
          <w:sz w:val="30"/>
          <w:szCs w:val="30"/>
        </w:rPr>
        <w:t>火炸药、民</w:t>
      </w:r>
      <w:r w:rsidR="00D66C47">
        <w:rPr>
          <w:rFonts w:ascii="仿宋_GB2312" w:eastAsia="仿宋_GB2312" w:hAnsi="仿宋_GB2312" w:cs="仿宋_GB2312" w:hint="eastAsia"/>
          <w:sz w:val="30"/>
          <w:szCs w:val="30"/>
        </w:rPr>
        <w:t>用爆炸物品</w:t>
      </w:r>
      <w:r w:rsidR="00AC128F">
        <w:rPr>
          <w:rFonts w:ascii="仿宋_GB2312" w:eastAsia="仿宋_GB2312" w:hAnsi="仿宋_GB2312" w:cs="仿宋_GB2312" w:hint="eastAsia"/>
          <w:sz w:val="30"/>
          <w:szCs w:val="30"/>
        </w:rPr>
        <w:t>等相近</w:t>
      </w:r>
      <w:r w:rsidR="004A1798">
        <w:rPr>
          <w:rFonts w:ascii="仿宋_GB2312" w:eastAsia="仿宋_GB2312" w:hAnsi="仿宋_GB2312" w:cs="仿宋_GB2312" w:hint="eastAsia"/>
          <w:sz w:val="30"/>
          <w:szCs w:val="30"/>
        </w:rPr>
        <w:t>专业</w:t>
      </w:r>
      <w:r w:rsidR="00652347">
        <w:rPr>
          <w:rFonts w:ascii="仿宋_GB2312" w:eastAsia="仿宋_GB2312" w:hAnsi="仿宋_GB2312" w:cs="仿宋_GB2312" w:hint="eastAsia"/>
          <w:sz w:val="30"/>
          <w:szCs w:val="30"/>
        </w:rPr>
        <w:t>高级</w:t>
      </w:r>
      <w:r w:rsidR="004A1798">
        <w:rPr>
          <w:rFonts w:ascii="仿宋_GB2312" w:eastAsia="仿宋_GB2312" w:hAnsi="仿宋_GB2312" w:cs="仿宋_GB2312" w:hint="eastAsia"/>
          <w:sz w:val="30"/>
          <w:szCs w:val="30"/>
        </w:rPr>
        <w:t>以上</w:t>
      </w:r>
      <w:r w:rsidR="00652347">
        <w:rPr>
          <w:rFonts w:ascii="仿宋_GB2312" w:eastAsia="仿宋_GB2312" w:hAnsi="仿宋_GB2312" w:cs="仿宋_GB2312" w:hint="eastAsia"/>
          <w:sz w:val="30"/>
          <w:szCs w:val="30"/>
        </w:rPr>
        <w:t>职称人员组成专家组制定，并</w:t>
      </w:r>
      <w:r w:rsidR="00D40455" w:rsidRPr="0053713D">
        <w:rPr>
          <w:rFonts w:ascii="仿宋_GB2312" w:eastAsia="仿宋_GB2312" w:hAnsi="仿宋_GB2312" w:cs="仿宋_GB2312" w:hint="eastAsia"/>
          <w:sz w:val="30"/>
          <w:szCs w:val="30"/>
        </w:rPr>
        <w:t>进行安全评估。</w:t>
      </w:r>
    </w:p>
    <w:p w:rsidR="001A6D77" w:rsidRPr="0053713D" w:rsidRDefault="00A936D5" w:rsidP="0053713D">
      <w:pPr>
        <w:topLinePunct/>
        <w:adjustRightInd w:val="0"/>
        <w:snapToGrid w:val="0"/>
        <w:spacing w:line="600" w:lineRule="exact"/>
        <w:ind w:firstLineChars="200" w:firstLine="600"/>
        <w:rPr>
          <w:rFonts w:ascii="黑体" w:eastAsia="黑体" w:hAnsi="仿宋_GB2312" w:cs="仿宋_GB2312" w:hint="eastAsia"/>
          <w:sz w:val="30"/>
          <w:szCs w:val="30"/>
        </w:rPr>
      </w:pPr>
      <w:r>
        <w:rPr>
          <w:rFonts w:ascii="黑体" w:eastAsia="黑体" w:hAnsi="仿宋_GB2312" w:cs="仿宋_GB2312" w:hint="eastAsia"/>
          <w:sz w:val="30"/>
          <w:szCs w:val="30"/>
        </w:rPr>
        <w:t>二</w:t>
      </w:r>
      <w:r w:rsidR="00CF6768" w:rsidRPr="0053713D">
        <w:rPr>
          <w:rFonts w:ascii="黑体" w:eastAsia="黑体" w:hAnsi="仿宋_GB2312" w:cs="仿宋_GB2312" w:hint="eastAsia"/>
          <w:sz w:val="30"/>
          <w:szCs w:val="30"/>
        </w:rPr>
        <w:t>、</w:t>
      </w:r>
      <w:r w:rsidR="001A6D77" w:rsidRPr="0053713D">
        <w:rPr>
          <w:rFonts w:ascii="黑体" w:eastAsia="黑体" w:hAnsi="仿宋_GB2312" w:cs="仿宋_GB2312" w:hint="eastAsia"/>
          <w:sz w:val="30"/>
          <w:szCs w:val="30"/>
        </w:rPr>
        <w:t>销毁方法及</w:t>
      </w:r>
      <w:r w:rsidR="001B6421">
        <w:rPr>
          <w:rFonts w:ascii="黑体" w:eastAsia="黑体" w:hAnsi="仿宋_GB2312" w:cs="仿宋_GB2312" w:hint="eastAsia"/>
          <w:sz w:val="30"/>
          <w:szCs w:val="30"/>
        </w:rPr>
        <w:t>安全</w:t>
      </w:r>
      <w:r w:rsidR="001A6D77" w:rsidRPr="0053713D">
        <w:rPr>
          <w:rFonts w:ascii="黑体" w:eastAsia="黑体" w:hAnsi="仿宋_GB2312" w:cs="仿宋_GB2312" w:hint="eastAsia"/>
          <w:sz w:val="30"/>
          <w:szCs w:val="30"/>
        </w:rPr>
        <w:t>要求</w:t>
      </w:r>
    </w:p>
    <w:p w:rsidR="001A6D77" w:rsidRPr="0053713D" w:rsidRDefault="001A6D77" w:rsidP="0053713D">
      <w:pPr>
        <w:topLinePunct/>
        <w:adjustRightInd w:val="0"/>
        <w:snapToGrid w:val="0"/>
        <w:spacing w:line="600" w:lineRule="exact"/>
        <w:ind w:firstLineChars="200" w:firstLine="600"/>
        <w:rPr>
          <w:rFonts w:ascii="仿宋_GB2312" w:eastAsia="仿宋_GB2312" w:hAnsi="仿宋_GB2312" w:cs="仿宋_GB2312" w:hint="eastAsia"/>
          <w:sz w:val="30"/>
          <w:szCs w:val="30"/>
        </w:rPr>
      </w:pPr>
      <w:r w:rsidRPr="0053713D">
        <w:rPr>
          <w:rFonts w:ascii="仿宋_GB2312" w:eastAsia="仿宋_GB2312" w:hAnsi="仿宋_GB2312" w:cs="仿宋_GB2312" w:hint="eastAsia"/>
          <w:sz w:val="30"/>
          <w:szCs w:val="30"/>
        </w:rPr>
        <w:t>销毁</w:t>
      </w:r>
      <w:r w:rsidR="008633E1">
        <w:rPr>
          <w:rFonts w:ascii="仿宋_GB2312" w:eastAsia="仿宋_GB2312" w:hAnsi="仿宋_GB2312" w:cs="仿宋_GB2312" w:hint="eastAsia"/>
          <w:sz w:val="30"/>
          <w:szCs w:val="30"/>
        </w:rPr>
        <w:t>烟花爆竹</w:t>
      </w:r>
      <w:r w:rsidRPr="0053713D">
        <w:rPr>
          <w:rFonts w:ascii="仿宋_GB2312" w:eastAsia="仿宋_GB2312" w:hAnsi="仿宋_GB2312" w:cs="仿宋_GB2312" w:hint="eastAsia"/>
          <w:sz w:val="30"/>
          <w:szCs w:val="30"/>
        </w:rPr>
        <w:t>一般应采用燃放法或户外焚烧法。各类</w:t>
      </w:r>
      <w:r w:rsidR="008633E1">
        <w:rPr>
          <w:rFonts w:ascii="仿宋_GB2312" w:eastAsia="仿宋_GB2312" w:hAnsi="仿宋_GB2312" w:cs="仿宋_GB2312" w:hint="eastAsia"/>
          <w:sz w:val="30"/>
          <w:szCs w:val="30"/>
        </w:rPr>
        <w:t>待销毁烟花爆竹</w:t>
      </w:r>
      <w:r w:rsidRPr="0053713D">
        <w:rPr>
          <w:rFonts w:ascii="仿宋_GB2312" w:eastAsia="仿宋_GB2312" w:hAnsi="仿宋_GB2312" w:cs="仿宋_GB2312" w:hint="eastAsia"/>
          <w:sz w:val="30"/>
          <w:szCs w:val="30"/>
        </w:rPr>
        <w:t>销毁方法的选择应符合表1规定。</w:t>
      </w:r>
      <w:r w:rsidR="00A1072B">
        <w:rPr>
          <w:rFonts w:ascii="仿宋_GB2312" w:eastAsia="仿宋_GB2312" w:hAnsi="仿宋_GB2312" w:cs="仿宋_GB2312" w:hint="eastAsia"/>
          <w:sz w:val="30"/>
          <w:szCs w:val="30"/>
        </w:rPr>
        <w:t>不同种类的待销毁烟花爆竹应分别销毁。</w:t>
      </w:r>
      <w:r w:rsidR="009A56C4">
        <w:rPr>
          <w:rFonts w:ascii="仿宋_GB2312" w:eastAsia="仿宋_GB2312" w:hAnsi="仿宋_GB2312" w:cs="仿宋_GB2312" w:hint="eastAsia"/>
          <w:sz w:val="30"/>
          <w:szCs w:val="30"/>
        </w:rPr>
        <w:t>销毁作业的基本</w:t>
      </w:r>
      <w:r w:rsidR="00500335">
        <w:rPr>
          <w:rFonts w:ascii="仿宋_GB2312" w:eastAsia="仿宋_GB2312" w:hAnsi="仿宋_GB2312" w:cs="仿宋_GB2312" w:hint="eastAsia"/>
          <w:sz w:val="30"/>
          <w:szCs w:val="30"/>
        </w:rPr>
        <w:t>安全要求</w:t>
      </w:r>
      <w:r w:rsidR="009A56C4">
        <w:rPr>
          <w:rFonts w:ascii="仿宋_GB2312" w:eastAsia="仿宋_GB2312" w:hAnsi="仿宋_GB2312" w:cs="仿宋_GB2312" w:hint="eastAsia"/>
          <w:sz w:val="30"/>
          <w:szCs w:val="30"/>
        </w:rPr>
        <w:t>应符合</w:t>
      </w:r>
      <w:r w:rsidR="00903541">
        <w:rPr>
          <w:rFonts w:ascii="仿宋_GB2312" w:eastAsia="仿宋_GB2312" w:hAnsi="仿宋_GB2312" w:cs="仿宋_GB2312" w:hint="eastAsia"/>
          <w:sz w:val="30"/>
          <w:szCs w:val="30"/>
        </w:rPr>
        <w:t>《烟花爆竹作业安全技术规程》第13章规定</w:t>
      </w:r>
      <w:r w:rsidR="009A56C4">
        <w:rPr>
          <w:rFonts w:ascii="仿宋_GB2312" w:eastAsia="仿宋_GB2312" w:hAnsi="仿宋_GB2312" w:cs="仿宋_GB2312" w:hint="eastAsia"/>
          <w:sz w:val="30"/>
          <w:szCs w:val="30"/>
        </w:rPr>
        <w:t>。</w:t>
      </w:r>
      <w:r w:rsidR="00AA692A" w:rsidRPr="0053713D">
        <w:rPr>
          <w:rFonts w:ascii="仿宋_GB2312" w:eastAsia="仿宋_GB2312" w:hAnsi="仿宋_GB2312" w:cs="仿宋_GB2312" w:hint="eastAsia"/>
          <w:sz w:val="30"/>
          <w:szCs w:val="30"/>
        </w:rPr>
        <w:t>严禁采用挖坑掩埋法和抛入江、河、湖、海水体等</w:t>
      </w:r>
      <w:r w:rsidR="009A56C4" w:rsidRPr="0053713D">
        <w:rPr>
          <w:rFonts w:ascii="仿宋_GB2312" w:eastAsia="仿宋_GB2312" w:hAnsi="仿宋_GB2312" w:cs="仿宋_GB2312" w:hint="eastAsia"/>
          <w:sz w:val="30"/>
          <w:szCs w:val="30"/>
        </w:rPr>
        <w:t>销毁</w:t>
      </w:r>
      <w:r w:rsidR="00AA692A" w:rsidRPr="0053713D">
        <w:rPr>
          <w:rFonts w:ascii="仿宋_GB2312" w:eastAsia="仿宋_GB2312" w:hAnsi="仿宋_GB2312" w:cs="仿宋_GB2312" w:hint="eastAsia"/>
          <w:sz w:val="30"/>
          <w:szCs w:val="30"/>
        </w:rPr>
        <w:t>方法。</w:t>
      </w:r>
    </w:p>
    <w:p w:rsidR="001A6D77" w:rsidRPr="003A6D4B" w:rsidRDefault="00AA692A" w:rsidP="001B6421">
      <w:pPr>
        <w:topLinePunct/>
        <w:adjustRightInd w:val="0"/>
        <w:snapToGrid w:val="0"/>
        <w:spacing w:line="600" w:lineRule="exact"/>
        <w:ind w:firstLineChars="200" w:firstLine="600"/>
        <w:rPr>
          <w:rFonts w:ascii="楷体_GB2312" w:eastAsia="楷体_GB2312" w:hAnsi="仿宋_GB2312" w:cs="仿宋_GB2312" w:hint="eastAsia"/>
          <w:b/>
          <w:sz w:val="30"/>
          <w:szCs w:val="30"/>
        </w:rPr>
      </w:pPr>
      <w:r w:rsidRPr="003A6D4B">
        <w:rPr>
          <w:rFonts w:ascii="楷体_GB2312" w:eastAsia="楷体_GB2312" w:hAnsi="仿宋_GB2312" w:cs="仿宋_GB2312" w:hint="eastAsia"/>
          <w:b/>
          <w:sz w:val="30"/>
          <w:szCs w:val="30"/>
        </w:rPr>
        <w:t>（一）</w:t>
      </w:r>
      <w:r w:rsidR="001A6D77" w:rsidRPr="003A6D4B">
        <w:rPr>
          <w:rFonts w:ascii="楷体_GB2312" w:eastAsia="楷体_GB2312" w:hAnsi="仿宋_GB2312" w:cs="仿宋_GB2312" w:hint="eastAsia"/>
          <w:b/>
          <w:sz w:val="30"/>
          <w:szCs w:val="30"/>
        </w:rPr>
        <w:t>燃放法</w:t>
      </w:r>
      <w:r w:rsidR="003A6D4B" w:rsidRPr="003A6D4B">
        <w:rPr>
          <w:rFonts w:ascii="楷体_GB2312" w:eastAsia="楷体_GB2312" w:hAnsi="仿宋_GB2312" w:cs="仿宋_GB2312" w:hint="eastAsia"/>
          <w:b/>
          <w:sz w:val="30"/>
          <w:szCs w:val="30"/>
        </w:rPr>
        <w:t>。</w:t>
      </w:r>
    </w:p>
    <w:p w:rsidR="001A6D77" w:rsidRPr="0053713D" w:rsidRDefault="00AA692A" w:rsidP="00CE74F9">
      <w:pPr>
        <w:topLinePunct/>
        <w:adjustRightInd w:val="0"/>
        <w:snapToGrid w:val="0"/>
        <w:spacing w:line="600" w:lineRule="exact"/>
        <w:ind w:firstLineChars="200" w:firstLine="600"/>
        <w:rPr>
          <w:rFonts w:ascii="仿宋_GB2312" w:eastAsia="仿宋_GB2312" w:hAnsi="仿宋_GB2312" w:cs="仿宋_GB2312" w:hint="eastAsia"/>
          <w:sz w:val="30"/>
          <w:szCs w:val="30"/>
        </w:rPr>
      </w:pPr>
      <w:r>
        <w:rPr>
          <w:rFonts w:ascii="仿宋_GB2312" w:eastAsia="仿宋_GB2312" w:hAnsi="仿宋_GB2312" w:cs="仿宋_GB2312" w:hint="eastAsia"/>
          <w:sz w:val="30"/>
          <w:szCs w:val="30"/>
        </w:rPr>
        <w:t>1.</w:t>
      </w:r>
      <w:r w:rsidR="00CE74F9">
        <w:rPr>
          <w:rFonts w:ascii="仿宋_GB2312" w:eastAsia="仿宋_GB2312" w:hAnsi="仿宋_GB2312" w:cs="仿宋_GB2312" w:hint="eastAsia"/>
          <w:sz w:val="30"/>
          <w:szCs w:val="30"/>
        </w:rPr>
        <w:t>专业燃放类产品以燃放法销毁</w:t>
      </w:r>
      <w:r w:rsidR="00A1072B">
        <w:rPr>
          <w:rFonts w:ascii="仿宋_GB2312" w:eastAsia="仿宋_GB2312" w:hAnsi="仿宋_GB2312" w:cs="仿宋_GB2312" w:hint="eastAsia"/>
          <w:sz w:val="30"/>
          <w:szCs w:val="30"/>
        </w:rPr>
        <w:t>时，</w:t>
      </w:r>
      <w:r w:rsidR="00CE74F9">
        <w:rPr>
          <w:rFonts w:ascii="仿宋_GB2312" w:eastAsia="仿宋_GB2312" w:hAnsi="仿宋_GB2312" w:cs="仿宋_GB2312" w:hint="eastAsia"/>
          <w:sz w:val="30"/>
          <w:szCs w:val="30"/>
        </w:rPr>
        <w:t>应</w:t>
      </w:r>
      <w:r w:rsidR="00CE74F9" w:rsidRPr="0053713D">
        <w:rPr>
          <w:rFonts w:ascii="仿宋_GB2312" w:eastAsia="仿宋_GB2312" w:hAnsi="仿宋_GB2312" w:cs="仿宋_GB2312" w:hint="eastAsia"/>
          <w:sz w:val="30"/>
          <w:szCs w:val="30"/>
        </w:rPr>
        <w:t>按</w:t>
      </w:r>
      <w:r w:rsidR="009A56C4">
        <w:rPr>
          <w:rFonts w:ascii="仿宋_GB2312" w:eastAsia="仿宋_GB2312" w:hAnsi="仿宋_GB2312" w:cs="仿宋_GB2312" w:hint="eastAsia"/>
          <w:sz w:val="30"/>
          <w:szCs w:val="30"/>
        </w:rPr>
        <w:t>《</w:t>
      </w:r>
      <w:r w:rsidR="009A56C4" w:rsidRPr="009A56C4">
        <w:rPr>
          <w:rFonts w:ascii="仿宋_GB2312" w:eastAsia="仿宋_GB2312" w:hAnsi="仿宋_GB2312" w:cs="仿宋_GB2312" w:hint="eastAsia"/>
          <w:sz w:val="30"/>
          <w:szCs w:val="30"/>
        </w:rPr>
        <w:t>大型焰火燃放安全技术规程</w:t>
      </w:r>
      <w:r w:rsidR="009A56C4">
        <w:rPr>
          <w:rFonts w:ascii="仿宋_GB2312" w:eastAsia="仿宋_GB2312" w:hAnsi="仿宋_GB2312" w:cs="仿宋_GB2312" w:hint="eastAsia"/>
          <w:sz w:val="30"/>
          <w:szCs w:val="30"/>
        </w:rPr>
        <w:t>》（</w:t>
      </w:r>
      <w:r w:rsidR="00CE74F9">
        <w:rPr>
          <w:rFonts w:ascii="仿宋_GB2312" w:eastAsia="仿宋_GB2312" w:hAnsi="仿宋_GB2312" w:cs="仿宋_GB2312" w:hint="eastAsia"/>
          <w:sz w:val="30"/>
          <w:szCs w:val="30"/>
        </w:rPr>
        <w:t>G</w:t>
      </w:r>
      <w:r w:rsidR="00CE74F9" w:rsidRPr="0053713D">
        <w:rPr>
          <w:rFonts w:ascii="仿宋_GB2312" w:eastAsia="仿宋_GB2312" w:hAnsi="仿宋_GB2312" w:cs="仿宋_GB2312" w:hint="eastAsia"/>
          <w:sz w:val="30"/>
          <w:szCs w:val="30"/>
        </w:rPr>
        <w:t>B24284</w:t>
      </w:r>
      <w:r w:rsidR="009A56C4">
        <w:rPr>
          <w:rFonts w:ascii="仿宋_GB2312" w:eastAsia="仿宋_GB2312" w:hAnsi="仿宋_GB2312" w:cs="仿宋_GB2312" w:hint="eastAsia"/>
          <w:sz w:val="30"/>
          <w:szCs w:val="30"/>
        </w:rPr>
        <w:t>—2009）</w:t>
      </w:r>
      <w:r w:rsidR="00CE74F9" w:rsidRPr="0053713D">
        <w:rPr>
          <w:rFonts w:ascii="仿宋_GB2312" w:eastAsia="仿宋_GB2312" w:hAnsi="仿宋_GB2312" w:cs="仿宋_GB2312" w:hint="eastAsia"/>
          <w:sz w:val="30"/>
          <w:szCs w:val="30"/>
        </w:rPr>
        <w:t>执行</w:t>
      </w:r>
      <w:r w:rsidR="00CE74F9">
        <w:rPr>
          <w:rFonts w:ascii="仿宋_GB2312" w:eastAsia="仿宋_GB2312" w:hAnsi="仿宋_GB2312" w:cs="仿宋_GB2312" w:hint="eastAsia"/>
          <w:sz w:val="30"/>
          <w:szCs w:val="30"/>
        </w:rPr>
        <w:t>。</w:t>
      </w:r>
      <w:r w:rsidR="001A6D77" w:rsidRPr="0053713D">
        <w:rPr>
          <w:rFonts w:ascii="仿宋_GB2312" w:eastAsia="仿宋_GB2312" w:hAnsi="仿宋_GB2312" w:cs="仿宋_GB2312" w:hint="eastAsia"/>
          <w:sz w:val="30"/>
          <w:szCs w:val="30"/>
        </w:rPr>
        <w:t>其他类产品应摆放、固定在坚实、干燥的地面，安装加长点火引火线</w:t>
      </w:r>
      <w:r w:rsidR="000D72C5" w:rsidRPr="0053713D">
        <w:rPr>
          <w:rFonts w:ascii="仿宋_GB2312" w:eastAsia="仿宋_GB2312" w:hAnsi="仿宋_GB2312" w:cs="仿宋_GB2312" w:hint="eastAsia"/>
          <w:sz w:val="30"/>
          <w:szCs w:val="30"/>
        </w:rPr>
        <w:t>，作业人员在安全距离外</w:t>
      </w:r>
      <w:r w:rsidR="000D72C5">
        <w:rPr>
          <w:rFonts w:ascii="仿宋_GB2312" w:eastAsia="仿宋_GB2312" w:hAnsi="仿宋_GB2312" w:cs="仿宋_GB2312" w:hint="eastAsia"/>
          <w:sz w:val="30"/>
          <w:szCs w:val="30"/>
        </w:rPr>
        <w:t>点火</w:t>
      </w:r>
      <w:r w:rsidR="000D72C5" w:rsidRPr="0053713D">
        <w:rPr>
          <w:rFonts w:ascii="仿宋_GB2312" w:eastAsia="仿宋_GB2312" w:hAnsi="仿宋_GB2312" w:cs="仿宋_GB2312" w:hint="eastAsia"/>
          <w:sz w:val="30"/>
          <w:szCs w:val="30"/>
        </w:rPr>
        <w:t>操作。</w:t>
      </w:r>
    </w:p>
    <w:p w:rsidR="001A6D77" w:rsidRPr="0053713D" w:rsidRDefault="002B3EE9" w:rsidP="005C071A">
      <w:pPr>
        <w:tabs>
          <w:tab w:val="left" w:pos="1112"/>
        </w:tabs>
        <w:topLinePunct/>
        <w:adjustRightInd w:val="0"/>
        <w:snapToGrid w:val="0"/>
        <w:spacing w:line="600" w:lineRule="exact"/>
        <w:ind w:firstLineChars="200" w:firstLine="600"/>
        <w:rPr>
          <w:rFonts w:ascii="仿宋_GB2312" w:eastAsia="仿宋_GB2312" w:hAnsi="仿宋_GB2312" w:cs="仿宋_GB2312" w:hint="eastAsia"/>
          <w:sz w:val="30"/>
          <w:szCs w:val="30"/>
        </w:rPr>
      </w:pPr>
      <w:r>
        <w:rPr>
          <w:rFonts w:ascii="仿宋_GB2312" w:eastAsia="仿宋_GB2312" w:hAnsi="仿宋_GB2312" w:cs="仿宋_GB2312" w:hint="eastAsia"/>
          <w:sz w:val="30"/>
          <w:szCs w:val="30"/>
        </w:rPr>
        <w:t>2</w:t>
      </w:r>
      <w:r w:rsidR="00AA692A">
        <w:rPr>
          <w:rFonts w:ascii="仿宋_GB2312" w:eastAsia="仿宋_GB2312" w:hAnsi="仿宋_GB2312" w:cs="仿宋_GB2312" w:hint="eastAsia"/>
          <w:sz w:val="30"/>
          <w:szCs w:val="30"/>
        </w:rPr>
        <w:t>.</w:t>
      </w:r>
      <w:r w:rsidR="001A6D77" w:rsidRPr="0053713D">
        <w:rPr>
          <w:rFonts w:ascii="仿宋_GB2312" w:eastAsia="仿宋_GB2312" w:hAnsi="仿宋_GB2312" w:cs="仿宋_GB2312" w:hint="eastAsia"/>
          <w:sz w:val="30"/>
          <w:szCs w:val="30"/>
        </w:rPr>
        <w:t>点火</w:t>
      </w:r>
      <w:r w:rsidR="00AA692A">
        <w:rPr>
          <w:rFonts w:ascii="仿宋_GB2312" w:eastAsia="仿宋_GB2312" w:hAnsi="仿宋_GB2312" w:cs="仿宋_GB2312" w:hint="eastAsia"/>
          <w:sz w:val="30"/>
          <w:szCs w:val="30"/>
        </w:rPr>
        <w:t>：</w:t>
      </w:r>
      <w:r w:rsidR="000D72C5">
        <w:rPr>
          <w:rFonts w:ascii="仿宋_GB2312" w:eastAsia="仿宋_GB2312" w:hAnsi="仿宋_GB2312" w:cs="仿宋_GB2312" w:hint="eastAsia"/>
          <w:sz w:val="30"/>
          <w:szCs w:val="30"/>
        </w:rPr>
        <w:t>优先采用</w:t>
      </w:r>
      <w:r w:rsidR="000D72C5" w:rsidRPr="0053713D">
        <w:rPr>
          <w:rFonts w:ascii="仿宋_GB2312" w:eastAsia="仿宋_GB2312" w:hAnsi="仿宋_GB2312" w:cs="仿宋_GB2312" w:hint="eastAsia"/>
          <w:sz w:val="30"/>
          <w:szCs w:val="30"/>
        </w:rPr>
        <w:t>电点火设备或遥控引燃</w:t>
      </w:r>
      <w:r w:rsidR="000D72C5">
        <w:rPr>
          <w:rFonts w:ascii="仿宋_GB2312" w:eastAsia="仿宋_GB2312" w:hAnsi="仿宋_GB2312" w:cs="仿宋_GB2312" w:hint="eastAsia"/>
          <w:sz w:val="30"/>
          <w:szCs w:val="30"/>
        </w:rPr>
        <w:t>方式</w:t>
      </w:r>
      <w:r w:rsidR="000D72C5" w:rsidRPr="0053713D">
        <w:rPr>
          <w:rFonts w:ascii="仿宋_GB2312" w:eastAsia="仿宋_GB2312" w:hAnsi="仿宋_GB2312" w:cs="仿宋_GB2312" w:hint="eastAsia"/>
          <w:sz w:val="30"/>
          <w:szCs w:val="30"/>
        </w:rPr>
        <w:t>，</w:t>
      </w:r>
      <w:r w:rsidR="00BF014A">
        <w:rPr>
          <w:rFonts w:ascii="仿宋_GB2312" w:eastAsia="仿宋_GB2312" w:hAnsi="仿宋_GB2312" w:cs="仿宋_GB2312" w:hint="eastAsia"/>
          <w:sz w:val="30"/>
          <w:szCs w:val="30"/>
        </w:rPr>
        <w:t>点火前应进行</w:t>
      </w:r>
      <w:r w:rsidR="001A6D77" w:rsidRPr="0053713D">
        <w:rPr>
          <w:rFonts w:ascii="仿宋_GB2312" w:eastAsia="仿宋_GB2312" w:hAnsi="仿宋_GB2312" w:cs="仿宋_GB2312" w:hint="eastAsia"/>
          <w:sz w:val="30"/>
          <w:szCs w:val="30"/>
        </w:rPr>
        <w:t>现场检查，确保引火线、点火设备连接安装可靠，无其他危险源后，</w:t>
      </w:r>
      <w:r w:rsidR="00CD65EB">
        <w:rPr>
          <w:rFonts w:ascii="仿宋_GB2312" w:eastAsia="仿宋_GB2312" w:hAnsi="仿宋_GB2312" w:cs="仿宋_GB2312" w:hint="eastAsia"/>
          <w:sz w:val="30"/>
          <w:szCs w:val="30"/>
        </w:rPr>
        <w:t>方可</w:t>
      </w:r>
      <w:r w:rsidR="00BA3EAE">
        <w:rPr>
          <w:rFonts w:ascii="仿宋_GB2312" w:eastAsia="仿宋_GB2312" w:hAnsi="仿宋_GB2312" w:cs="仿宋_GB2312" w:hint="eastAsia"/>
          <w:sz w:val="30"/>
          <w:szCs w:val="30"/>
        </w:rPr>
        <w:t>点火</w:t>
      </w:r>
      <w:r w:rsidR="001A6D77" w:rsidRPr="0053713D">
        <w:rPr>
          <w:rFonts w:ascii="仿宋_GB2312" w:eastAsia="仿宋_GB2312" w:hAnsi="仿宋_GB2312" w:cs="仿宋_GB2312" w:hint="eastAsia"/>
          <w:sz w:val="30"/>
          <w:szCs w:val="30"/>
        </w:rPr>
        <w:t>。</w:t>
      </w:r>
    </w:p>
    <w:p w:rsidR="003C1107" w:rsidRPr="0053713D" w:rsidRDefault="003C1107" w:rsidP="003C1107">
      <w:pPr>
        <w:topLinePunct/>
        <w:adjustRightInd w:val="0"/>
        <w:snapToGrid w:val="0"/>
        <w:spacing w:line="600" w:lineRule="exact"/>
        <w:ind w:firstLineChars="200" w:firstLine="600"/>
        <w:rPr>
          <w:rFonts w:ascii="仿宋_GB2312" w:eastAsia="仿宋_GB2312" w:hAnsi="仿宋_GB2312" w:cs="仿宋_GB2312" w:hint="eastAsia"/>
          <w:sz w:val="30"/>
          <w:szCs w:val="30"/>
        </w:rPr>
      </w:pPr>
      <w:r>
        <w:rPr>
          <w:rFonts w:ascii="仿宋_GB2312" w:eastAsia="仿宋_GB2312" w:hAnsi="仿宋_GB2312" w:cs="仿宋_GB2312" w:hint="eastAsia"/>
          <w:sz w:val="30"/>
          <w:szCs w:val="30"/>
        </w:rPr>
        <w:t>3.</w:t>
      </w:r>
      <w:r w:rsidRPr="0053713D">
        <w:rPr>
          <w:rFonts w:ascii="仿宋_GB2312" w:eastAsia="仿宋_GB2312" w:hAnsi="仿宋_GB2312" w:cs="仿宋_GB2312" w:hint="eastAsia"/>
          <w:sz w:val="30"/>
          <w:szCs w:val="30"/>
        </w:rPr>
        <w:t>燃放时出现断火、哑弹</w:t>
      </w:r>
      <w:r w:rsidR="00017FAB">
        <w:rPr>
          <w:rFonts w:ascii="仿宋_GB2312" w:eastAsia="仿宋_GB2312" w:hAnsi="仿宋_GB2312" w:cs="仿宋_GB2312" w:hint="eastAsia"/>
          <w:sz w:val="30"/>
          <w:szCs w:val="30"/>
        </w:rPr>
        <w:t>等</w:t>
      </w:r>
      <w:r w:rsidRPr="0053713D">
        <w:rPr>
          <w:rFonts w:ascii="仿宋_GB2312" w:eastAsia="仿宋_GB2312" w:hAnsi="仿宋_GB2312" w:cs="仿宋_GB2312" w:hint="eastAsia"/>
          <w:sz w:val="30"/>
          <w:szCs w:val="30"/>
        </w:rPr>
        <w:t>未引燃的烟花时，应由专业技术人员处理后，采用焚烧法</w:t>
      </w:r>
      <w:r w:rsidR="00B43D4A">
        <w:rPr>
          <w:rFonts w:ascii="仿宋_GB2312" w:eastAsia="仿宋_GB2312" w:hAnsi="仿宋_GB2312" w:cs="仿宋_GB2312" w:hint="eastAsia"/>
          <w:sz w:val="30"/>
          <w:szCs w:val="30"/>
        </w:rPr>
        <w:t>彻底销毁。</w:t>
      </w:r>
      <w:r w:rsidRPr="0053713D">
        <w:rPr>
          <w:rFonts w:ascii="仿宋_GB2312" w:eastAsia="仿宋_GB2312" w:hAnsi="仿宋_GB2312" w:cs="仿宋_GB2312" w:hint="eastAsia"/>
          <w:sz w:val="30"/>
          <w:szCs w:val="30"/>
        </w:rPr>
        <w:t>未</w:t>
      </w:r>
      <w:r>
        <w:rPr>
          <w:rFonts w:ascii="仿宋_GB2312" w:eastAsia="仿宋_GB2312" w:hAnsi="仿宋_GB2312" w:cs="仿宋_GB2312" w:hint="eastAsia"/>
          <w:sz w:val="30"/>
          <w:szCs w:val="30"/>
        </w:rPr>
        <w:t>引燃的</w:t>
      </w:r>
      <w:r w:rsidRPr="0053713D">
        <w:rPr>
          <w:rFonts w:ascii="仿宋_GB2312" w:eastAsia="仿宋_GB2312" w:hAnsi="仿宋_GB2312" w:cs="仿宋_GB2312" w:hint="eastAsia"/>
          <w:sz w:val="30"/>
          <w:szCs w:val="30"/>
        </w:rPr>
        <w:t>礼花弹</w:t>
      </w:r>
      <w:r w:rsidR="00BF014A">
        <w:rPr>
          <w:rFonts w:ascii="仿宋_GB2312" w:eastAsia="仿宋_GB2312" w:hAnsi="仿宋_GB2312" w:cs="仿宋_GB2312" w:hint="eastAsia"/>
          <w:sz w:val="30"/>
          <w:szCs w:val="30"/>
        </w:rPr>
        <w:t>应</w:t>
      </w:r>
      <w:r w:rsidRPr="0053713D">
        <w:rPr>
          <w:rFonts w:ascii="仿宋_GB2312" w:eastAsia="仿宋_GB2312" w:hAnsi="仿宋_GB2312" w:cs="仿宋_GB2312" w:hint="eastAsia"/>
          <w:sz w:val="30"/>
          <w:szCs w:val="30"/>
        </w:rPr>
        <w:t>经过拆除发射药包和解剖球壳取出药物后采用焚烧法销毁。</w:t>
      </w:r>
    </w:p>
    <w:p w:rsidR="00BA3EAE" w:rsidRDefault="003C1107" w:rsidP="0053713D">
      <w:pPr>
        <w:topLinePunct/>
        <w:adjustRightInd w:val="0"/>
        <w:snapToGrid w:val="0"/>
        <w:spacing w:line="600" w:lineRule="exact"/>
        <w:ind w:firstLineChars="200" w:firstLine="600"/>
        <w:rPr>
          <w:rFonts w:ascii="仿宋_GB2312" w:eastAsia="仿宋_GB2312" w:hAnsi="仿宋_GB2312" w:cs="仿宋_GB2312" w:hint="eastAsia"/>
          <w:sz w:val="30"/>
          <w:szCs w:val="30"/>
        </w:rPr>
      </w:pPr>
      <w:r>
        <w:rPr>
          <w:rFonts w:ascii="仿宋_GB2312" w:eastAsia="仿宋_GB2312" w:hAnsi="仿宋_GB2312" w:cs="仿宋_GB2312" w:hint="eastAsia"/>
          <w:sz w:val="30"/>
          <w:szCs w:val="30"/>
        </w:rPr>
        <w:t>4</w:t>
      </w:r>
      <w:r w:rsidR="00AA692A">
        <w:rPr>
          <w:rFonts w:ascii="仿宋_GB2312" w:eastAsia="仿宋_GB2312" w:hAnsi="仿宋_GB2312" w:cs="仿宋_GB2312" w:hint="eastAsia"/>
          <w:sz w:val="30"/>
          <w:szCs w:val="30"/>
        </w:rPr>
        <w:t>.</w:t>
      </w:r>
      <w:r w:rsidR="00CD65EB" w:rsidRPr="0053713D">
        <w:rPr>
          <w:rFonts w:ascii="仿宋_GB2312" w:eastAsia="仿宋_GB2312" w:hAnsi="仿宋_GB2312" w:cs="仿宋_GB2312" w:hint="eastAsia"/>
          <w:sz w:val="30"/>
          <w:szCs w:val="30"/>
        </w:rPr>
        <w:t>燃放结束后应对场地进行清理、清洁</w:t>
      </w:r>
      <w:r w:rsidR="00BF014A">
        <w:rPr>
          <w:rFonts w:ascii="仿宋_GB2312" w:eastAsia="仿宋_GB2312" w:hAnsi="仿宋_GB2312" w:cs="仿宋_GB2312" w:hint="eastAsia"/>
          <w:sz w:val="30"/>
          <w:szCs w:val="30"/>
        </w:rPr>
        <w:t>，</w:t>
      </w:r>
      <w:r w:rsidR="00BF014A" w:rsidRPr="0053713D">
        <w:rPr>
          <w:rFonts w:ascii="仿宋_GB2312" w:eastAsia="仿宋_GB2312" w:hAnsi="仿宋_GB2312" w:cs="仿宋_GB2312" w:hint="eastAsia"/>
          <w:sz w:val="30"/>
          <w:szCs w:val="30"/>
        </w:rPr>
        <w:t>现场检查清场</w:t>
      </w:r>
      <w:r w:rsidR="00BF014A">
        <w:rPr>
          <w:rFonts w:ascii="仿宋_GB2312" w:eastAsia="仿宋_GB2312" w:hAnsi="仿宋_GB2312" w:cs="仿宋_GB2312" w:hint="eastAsia"/>
          <w:sz w:val="30"/>
          <w:szCs w:val="30"/>
        </w:rPr>
        <w:t>应在</w:t>
      </w:r>
      <w:r w:rsidR="00B43D4A">
        <w:rPr>
          <w:rFonts w:ascii="仿宋_GB2312" w:eastAsia="仿宋_GB2312" w:hAnsi="仿宋_GB2312" w:cs="仿宋_GB2312" w:hint="eastAsia"/>
          <w:sz w:val="30"/>
          <w:szCs w:val="30"/>
        </w:rPr>
        <w:t>燃放</w:t>
      </w:r>
      <w:r w:rsidR="00CD65EB">
        <w:rPr>
          <w:rFonts w:ascii="仿宋_GB2312" w:eastAsia="仿宋_GB2312" w:hAnsi="仿宋_GB2312" w:cs="仿宋_GB2312" w:hint="eastAsia"/>
          <w:sz w:val="30"/>
          <w:szCs w:val="30"/>
        </w:rPr>
        <w:t>停止</w:t>
      </w:r>
      <w:r w:rsidR="00CD65EB" w:rsidRPr="0053713D">
        <w:rPr>
          <w:rFonts w:ascii="仿宋_GB2312" w:eastAsia="仿宋_GB2312" w:hAnsi="仿宋_GB2312" w:cs="仿宋_GB2312" w:hint="eastAsia"/>
          <w:sz w:val="30"/>
          <w:szCs w:val="30"/>
        </w:rPr>
        <w:t>30</w:t>
      </w:r>
      <w:r w:rsidR="00CD65EB">
        <w:rPr>
          <w:rFonts w:ascii="仿宋_GB2312" w:eastAsia="仿宋_GB2312" w:hAnsi="仿宋_GB2312" w:cs="仿宋_GB2312" w:hint="eastAsia"/>
          <w:sz w:val="30"/>
          <w:szCs w:val="30"/>
        </w:rPr>
        <w:t>分钟</w:t>
      </w:r>
      <w:r w:rsidR="00CD65EB" w:rsidRPr="0053713D">
        <w:rPr>
          <w:rFonts w:ascii="仿宋_GB2312" w:eastAsia="仿宋_GB2312" w:hAnsi="仿宋_GB2312" w:cs="仿宋_GB2312" w:hint="eastAsia"/>
          <w:sz w:val="30"/>
          <w:szCs w:val="30"/>
        </w:rPr>
        <w:t>后进行</w:t>
      </w:r>
      <w:r w:rsidR="00BA3EAE">
        <w:rPr>
          <w:rFonts w:ascii="仿宋_GB2312" w:eastAsia="仿宋_GB2312" w:hAnsi="仿宋_GB2312" w:cs="仿宋_GB2312" w:hint="eastAsia"/>
          <w:sz w:val="30"/>
          <w:szCs w:val="30"/>
        </w:rPr>
        <w:t>。</w:t>
      </w:r>
    </w:p>
    <w:p w:rsidR="001A6D77" w:rsidRPr="003A6D4B" w:rsidRDefault="00AA692A" w:rsidP="005C071A">
      <w:pPr>
        <w:topLinePunct/>
        <w:adjustRightInd w:val="0"/>
        <w:snapToGrid w:val="0"/>
        <w:spacing w:line="600" w:lineRule="exact"/>
        <w:ind w:firstLineChars="200" w:firstLine="600"/>
        <w:rPr>
          <w:rFonts w:ascii="楷体_GB2312" w:eastAsia="楷体_GB2312" w:hAnsi="仿宋_GB2312" w:cs="仿宋_GB2312" w:hint="eastAsia"/>
          <w:b/>
          <w:sz w:val="30"/>
          <w:szCs w:val="30"/>
        </w:rPr>
      </w:pPr>
      <w:r w:rsidRPr="003A6D4B">
        <w:rPr>
          <w:rFonts w:ascii="楷体_GB2312" w:eastAsia="楷体_GB2312" w:hAnsi="仿宋_GB2312" w:cs="仿宋_GB2312" w:hint="eastAsia"/>
          <w:b/>
          <w:sz w:val="30"/>
          <w:szCs w:val="30"/>
        </w:rPr>
        <w:t>（二）</w:t>
      </w:r>
      <w:r w:rsidR="001A6D77" w:rsidRPr="003A6D4B">
        <w:rPr>
          <w:rFonts w:ascii="楷体_GB2312" w:eastAsia="楷体_GB2312" w:hAnsi="仿宋_GB2312" w:cs="仿宋_GB2312" w:hint="eastAsia"/>
          <w:b/>
          <w:sz w:val="30"/>
          <w:szCs w:val="30"/>
        </w:rPr>
        <w:t>户外焚烧法</w:t>
      </w:r>
      <w:r w:rsidR="003A6D4B">
        <w:rPr>
          <w:rFonts w:ascii="楷体_GB2312" w:eastAsia="楷体_GB2312" w:hAnsi="仿宋_GB2312" w:cs="仿宋_GB2312" w:hint="eastAsia"/>
          <w:b/>
          <w:sz w:val="30"/>
          <w:szCs w:val="30"/>
        </w:rPr>
        <w:t>。</w:t>
      </w:r>
    </w:p>
    <w:p w:rsidR="000D72C5" w:rsidRDefault="00AA692A" w:rsidP="0053713D">
      <w:pPr>
        <w:topLinePunct/>
        <w:adjustRightInd w:val="0"/>
        <w:snapToGrid w:val="0"/>
        <w:spacing w:line="600" w:lineRule="exact"/>
        <w:ind w:firstLineChars="200" w:firstLine="600"/>
        <w:rPr>
          <w:rFonts w:ascii="仿宋_GB2312" w:eastAsia="仿宋_GB2312" w:hAnsi="仿宋_GB2312" w:cs="仿宋_GB2312" w:hint="eastAsia"/>
          <w:sz w:val="30"/>
          <w:szCs w:val="30"/>
        </w:rPr>
      </w:pPr>
      <w:r>
        <w:rPr>
          <w:rFonts w:ascii="仿宋_GB2312" w:eastAsia="仿宋_GB2312" w:hAnsi="仿宋_GB2312" w:cs="仿宋_GB2312" w:hint="eastAsia"/>
          <w:sz w:val="30"/>
          <w:szCs w:val="30"/>
        </w:rPr>
        <w:t>1.</w:t>
      </w:r>
      <w:r w:rsidR="001A6D77" w:rsidRPr="0053713D">
        <w:rPr>
          <w:rFonts w:ascii="仿宋_GB2312" w:eastAsia="仿宋_GB2312" w:hAnsi="仿宋_GB2312" w:cs="仿宋_GB2312" w:hint="eastAsia"/>
          <w:sz w:val="30"/>
          <w:szCs w:val="30"/>
        </w:rPr>
        <w:t>铺设</w:t>
      </w:r>
      <w:r w:rsidR="00D17116">
        <w:rPr>
          <w:rFonts w:ascii="仿宋_GB2312" w:eastAsia="仿宋_GB2312" w:hAnsi="仿宋_GB2312" w:cs="仿宋_GB2312" w:hint="eastAsia"/>
          <w:sz w:val="30"/>
          <w:szCs w:val="30"/>
        </w:rPr>
        <w:t>：</w:t>
      </w:r>
      <w:r w:rsidR="001A6D77" w:rsidRPr="0053713D">
        <w:rPr>
          <w:rFonts w:ascii="仿宋_GB2312" w:eastAsia="仿宋_GB2312" w:hAnsi="仿宋_GB2312" w:cs="仿宋_GB2312" w:hint="eastAsia"/>
          <w:sz w:val="30"/>
          <w:szCs w:val="30"/>
        </w:rPr>
        <w:t>应将待销毁的烟花爆竹成品、含烟火药半成品分类平铺于地面；组合烟花类应平稳摆放于硬质地面，发射上升口朝上，打开包装箱；其他成品、半成品平铺于地面</w:t>
      </w:r>
      <w:r w:rsidR="000D72C5">
        <w:rPr>
          <w:rFonts w:ascii="仿宋_GB2312" w:eastAsia="仿宋_GB2312" w:hAnsi="仿宋_GB2312" w:cs="仿宋_GB2312" w:hint="eastAsia"/>
          <w:sz w:val="30"/>
          <w:szCs w:val="30"/>
        </w:rPr>
        <w:t>。</w:t>
      </w:r>
    </w:p>
    <w:p w:rsidR="001A6D77" w:rsidRPr="0053713D" w:rsidRDefault="001A6D77" w:rsidP="0053713D">
      <w:pPr>
        <w:topLinePunct/>
        <w:adjustRightInd w:val="0"/>
        <w:snapToGrid w:val="0"/>
        <w:spacing w:line="600" w:lineRule="exact"/>
        <w:ind w:firstLineChars="200" w:firstLine="600"/>
        <w:rPr>
          <w:rFonts w:ascii="仿宋_GB2312" w:eastAsia="仿宋_GB2312" w:hAnsi="仿宋_GB2312" w:cs="仿宋_GB2312" w:hint="eastAsia"/>
          <w:sz w:val="30"/>
          <w:szCs w:val="30"/>
        </w:rPr>
      </w:pPr>
      <w:r w:rsidRPr="0053713D">
        <w:rPr>
          <w:rFonts w:ascii="仿宋_GB2312" w:eastAsia="仿宋_GB2312" w:hAnsi="仿宋_GB2312" w:cs="仿宋_GB2312" w:hint="eastAsia"/>
          <w:sz w:val="30"/>
          <w:szCs w:val="30"/>
        </w:rPr>
        <w:t>铺设厚度和铺设宽度应符合表1规定</w:t>
      </w:r>
      <w:r w:rsidR="008D777D">
        <w:rPr>
          <w:rFonts w:ascii="仿宋_GB2312" w:eastAsia="仿宋_GB2312" w:hAnsi="仿宋_GB2312" w:cs="仿宋_GB2312" w:hint="eastAsia"/>
          <w:sz w:val="30"/>
          <w:szCs w:val="30"/>
        </w:rPr>
        <w:t>。</w:t>
      </w:r>
      <w:r w:rsidR="000D72C5" w:rsidRPr="0053713D">
        <w:rPr>
          <w:rFonts w:ascii="仿宋_GB2312" w:eastAsia="仿宋_GB2312" w:hAnsi="仿宋_GB2312" w:cs="仿宋_GB2312" w:hint="eastAsia"/>
          <w:sz w:val="30"/>
          <w:szCs w:val="30"/>
        </w:rPr>
        <w:t>多条铺设时，条与条之间距离不应小于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"/>
          <w:attr w:name="UnitName" w:val="米"/>
        </w:smartTagPr>
        <w:r w:rsidR="000D72C5" w:rsidRPr="0053713D">
          <w:rPr>
            <w:rFonts w:ascii="仿宋_GB2312" w:eastAsia="仿宋_GB2312" w:hAnsi="仿宋_GB2312" w:cs="仿宋_GB2312" w:hint="eastAsia"/>
            <w:sz w:val="30"/>
            <w:szCs w:val="30"/>
          </w:rPr>
          <w:t>5</w:t>
        </w:r>
        <w:r w:rsidR="000D72C5">
          <w:rPr>
            <w:rFonts w:ascii="仿宋_GB2312" w:eastAsia="仿宋_GB2312" w:hAnsi="仿宋_GB2312" w:cs="仿宋_GB2312" w:hint="eastAsia"/>
            <w:sz w:val="30"/>
            <w:szCs w:val="30"/>
          </w:rPr>
          <w:t>米</w:t>
        </w:r>
      </w:smartTag>
      <w:r w:rsidR="000D72C5" w:rsidRPr="0053713D">
        <w:rPr>
          <w:rFonts w:ascii="仿宋_GB2312" w:eastAsia="仿宋_GB2312" w:hAnsi="仿宋_GB2312" w:cs="仿宋_GB2312" w:hint="eastAsia"/>
          <w:sz w:val="30"/>
          <w:szCs w:val="30"/>
        </w:rPr>
        <w:t>。烟火药、黑火药、引火线、还原剂</w:t>
      </w:r>
      <w:r w:rsidR="000D72C5">
        <w:rPr>
          <w:rFonts w:ascii="仿宋_GB2312" w:eastAsia="仿宋_GB2312" w:hAnsi="仿宋_GB2312" w:cs="仿宋_GB2312" w:hint="eastAsia"/>
          <w:sz w:val="30"/>
          <w:szCs w:val="30"/>
        </w:rPr>
        <w:t>、</w:t>
      </w:r>
      <w:r w:rsidR="000D72C5" w:rsidRPr="0053713D">
        <w:rPr>
          <w:rFonts w:ascii="仿宋_GB2312" w:eastAsia="仿宋_GB2312" w:hAnsi="仿宋_GB2312" w:cs="仿宋_GB2312" w:hint="eastAsia"/>
          <w:sz w:val="30"/>
          <w:szCs w:val="30"/>
        </w:rPr>
        <w:t>氧化剂铺设长度不应大于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"/>
          <w:attr w:name="UnitName" w:val="米"/>
        </w:smartTagPr>
        <w:r w:rsidR="000D72C5" w:rsidRPr="0053713D">
          <w:rPr>
            <w:rFonts w:ascii="仿宋_GB2312" w:eastAsia="仿宋_GB2312" w:hAnsi="仿宋_GB2312" w:cs="仿宋_GB2312" w:hint="eastAsia"/>
            <w:sz w:val="30"/>
            <w:szCs w:val="30"/>
          </w:rPr>
          <w:t>25</w:t>
        </w:r>
        <w:r w:rsidR="000D72C5">
          <w:rPr>
            <w:rFonts w:ascii="仿宋_GB2312" w:eastAsia="仿宋_GB2312" w:hAnsi="仿宋_GB2312" w:cs="仿宋_GB2312" w:hint="eastAsia"/>
            <w:sz w:val="30"/>
            <w:szCs w:val="30"/>
          </w:rPr>
          <w:t>米</w:t>
        </w:r>
      </w:smartTag>
      <w:r w:rsidR="000D72C5" w:rsidRPr="0053713D">
        <w:rPr>
          <w:rFonts w:ascii="仿宋_GB2312" w:eastAsia="仿宋_GB2312" w:hAnsi="仿宋_GB2312" w:cs="仿宋_GB2312" w:hint="eastAsia"/>
          <w:sz w:val="30"/>
          <w:szCs w:val="30"/>
        </w:rPr>
        <w:t>。</w:t>
      </w:r>
    </w:p>
    <w:p w:rsidR="001A6D77" w:rsidRPr="0053713D" w:rsidRDefault="00BF014A" w:rsidP="0053713D">
      <w:pPr>
        <w:topLinePunct/>
        <w:adjustRightInd w:val="0"/>
        <w:snapToGrid w:val="0"/>
        <w:spacing w:line="600" w:lineRule="exact"/>
        <w:ind w:firstLineChars="200" w:firstLine="600"/>
        <w:rPr>
          <w:rFonts w:ascii="仿宋_GB2312" w:eastAsia="仿宋_GB2312" w:hAnsi="仿宋_GB2312" w:cs="仿宋_GB2312" w:hint="eastAsia"/>
          <w:sz w:val="30"/>
          <w:szCs w:val="30"/>
        </w:rPr>
      </w:pPr>
      <w:r>
        <w:rPr>
          <w:rFonts w:ascii="仿宋_GB2312" w:eastAsia="仿宋_GB2312" w:hAnsi="仿宋_GB2312" w:cs="仿宋_GB2312" w:hint="eastAsia"/>
          <w:sz w:val="30"/>
          <w:szCs w:val="30"/>
        </w:rPr>
        <w:t>2</w:t>
      </w:r>
      <w:r w:rsidR="00D17116">
        <w:rPr>
          <w:rFonts w:ascii="仿宋_GB2312" w:eastAsia="仿宋_GB2312" w:hAnsi="仿宋_GB2312" w:cs="仿宋_GB2312" w:hint="eastAsia"/>
          <w:sz w:val="30"/>
          <w:szCs w:val="30"/>
        </w:rPr>
        <w:t>.</w:t>
      </w:r>
      <w:r w:rsidR="001A6D77" w:rsidRPr="0053713D">
        <w:rPr>
          <w:rFonts w:ascii="仿宋_GB2312" w:eastAsia="仿宋_GB2312" w:hAnsi="仿宋_GB2312" w:cs="仿宋_GB2312" w:hint="eastAsia"/>
          <w:sz w:val="30"/>
          <w:szCs w:val="30"/>
        </w:rPr>
        <w:t>助燃物及用量</w:t>
      </w:r>
      <w:r w:rsidR="005C071A">
        <w:rPr>
          <w:rFonts w:ascii="仿宋_GB2312" w:eastAsia="仿宋_GB2312" w:hAnsi="仿宋_GB2312" w:cs="仿宋_GB2312" w:hint="eastAsia"/>
          <w:sz w:val="30"/>
          <w:szCs w:val="30"/>
        </w:rPr>
        <w:t>。</w:t>
      </w:r>
      <w:r w:rsidR="001A6D77" w:rsidRPr="0053713D">
        <w:rPr>
          <w:rFonts w:ascii="仿宋_GB2312" w:eastAsia="仿宋_GB2312" w:hAnsi="仿宋_GB2312" w:cs="仿宋_GB2312" w:hint="eastAsia"/>
          <w:sz w:val="30"/>
          <w:szCs w:val="30"/>
        </w:rPr>
        <w:t>助燃物</w:t>
      </w:r>
      <w:r w:rsidR="000D72C5">
        <w:rPr>
          <w:rFonts w:ascii="仿宋_GB2312" w:eastAsia="仿宋_GB2312" w:hAnsi="仿宋_GB2312" w:cs="仿宋_GB2312" w:hint="eastAsia"/>
          <w:sz w:val="30"/>
          <w:szCs w:val="30"/>
        </w:rPr>
        <w:t>宜</w:t>
      </w:r>
      <w:r w:rsidR="001A6D77" w:rsidRPr="0053713D">
        <w:rPr>
          <w:rFonts w:ascii="仿宋_GB2312" w:eastAsia="仿宋_GB2312" w:hAnsi="仿宋_GB2312" w:cs="仿宋_GB2312" w:hint="eastAsia"/>
          <w:sz w:val="30"/>
          <w:szCs w:val="30"/>
        </w:rPr>
        <w:t>采用柴油、</w:t>
      </w:r>
      <w:r w:rsidR="00514DB4">
        <w:rPr>
          <w:rFonts w:ascii="仿宋_GB2312" w:eastAsia="仿宋_GB2312" w:hAnsi="仿宋_GB2312" w:cs="仿宋_GB2312" w:hint="eastAsia"/>
          <w:sz w:val="30"/>
          <w:szCs w:val="30"/>
        </w:rPr>
        <w:t>木材</w:t>
      </w:r>
      <w:r w:rsidR="001A6D77" w:rsidRPr="0053713D">
        <w:rPr>
          <w:rFonts w:ascii="仿宋_GB2312" w:eastAsia="仿宋_GB2312" w:hAnsi="仿宋_GB2312" w:cs="仿宋_GB2312" w:hint="eastAsia"/>
          <w:sz w:val="30"/>
          <w:szCs w:val="30"/>
        </w:rPr>
        <w:t>、柴草等，不应使用汽油</w:t>
      </w:r>
      <w:r w:rsidR="00514DB4">
        <w:rPr>
          <w:rFonts w:ascii="仿宋_GB2312" w:eastAsia="仿宋_GB2312" w:hAnsi="仿宋_GB2312" w:cs="仿宋_GB2312" w:hint="eastAsia"/>
          <w:sz w:val="30"/>
          <w:szCs w:val="30"/>
        </w:rPr>
        <w:t>、</w:t>
      </w:r>
      <w:r w:rsidR="00514DB4" w:rsidRPr="0053713D">
        <w:rPr>
          <w:rFonts w:ascii="仿宋_GB2312" w:eastAsia="仿宋_GB2312" w:hAnsi="仿宋_GB2312" w:cs="仿宋_GB2312" w:hint="eastAsia"/>
          <w:sz w:val="30"/>
          <w:szCs w:val="30"/>
        </w:rPr>
        <w:t>酒精</w:t>
      </w:r>
      <w:r w:rsidR="001A6D77" w:rsidRPr="0053713D">
        <w:rPr>
          <w:rFonts w:ascii="仿宋_GB2312" w:eastAsia="仿宋_GB2312" w:hAnsi="仿宋_GB2312" w:cs="仿宋_GB2312" w:hint="eastAsia"/>
          <w:sz w:val="30"/>
          <w:szCs w:val="30"/>
        </w:rPr>
        <w:t>等挥发性强、闪点低的燃料</w:t>
      </w:r>
      <w:r w:rsidR="000D72C5">
        <w:rPr>
          <w:rFonts w:ascii="仿宋_GB2312" w:eastAsia="仿宋_GB2312" w:hAnsi="仿宋_GB2312" w:cs="仿宋_GB2312" w:hint="eastAsia"/>
          <w:sz w:val="30"/>
          <w:szCs w:val="30"/>
        </w:rPr>
        <w:t>。</w:t>
      </w:r>
      <w:r w:rsidR="008A236E" w:rsidRPr="0053713D">
        <w:rPr>
          <w:rFonts w:ascii="仿宋_GB2312" w:eastAsia="仿宋_GB2312" w:hAnsi="仿宋_GB2312" w:cs="仿宋_GB2312" w:hint="eastAsia"/>
          <w:sz w:val="30"/>
          <w:szCs w:val="30"/>
        </w:rPr>
        <w:t>严禁在</w:t>
      </w:r>
      <w:r w:rsidR="008A236E">
        <w:rPr>
          <w:rFonts w:ascii="仿宋_GB2312" w:eastAsia="仿宋_GB2312" w:hAnsi="仿宋_GB2312" w:cs="仿宋_GB2312" w:hint="eastAsia"/>
          <w:sz w:val="30"/>
          <w:szCs w:val="30"/>
        </w:rPr>
        <w:t>焚烧</w:t>
      </w:r>
      <w:r w:rsidR="008A236E" w:rsidRPr="0053713D">
        <w:rPr>
          <w:rFonts w:ascii="仿宋_GB2312" w:eastAsia="仿宋_GB2312" w:hAnsi="仿宋_GB2312" w:cs="仿宋_GB2312" w:hint="eastAsia"/>
          <w:sz w:val="30"/>
          <w:szCs w:val="30"/>
        </w:rPr>
        <w:t>过程中添加物料。</w:t>
      </w:r>
    </w:p>
    <w:p w:rsidR="001A6D77" w:rsidRPr="0053713D" w:rsidRDefault="00BF014A" w:rsidP="0053713D">
      <w:pPr>
        <w:topLinePunct/>
        <w:adjustRightInd w:val="0"/>
        <w:snapToGrid w:val="0"/>
        <w:spacing w:line="600" w:lineRule="exact"/>
        <w:ind w:firstLineChars="200" w:firstLine="600"/>
        <w:rPr>
          <w:rFonts w:ascii="仿宋_GB2312" w:eastAsia="仿宋_GB2312" w:hAnsi="仿宋_GB2312" w:cs="仿宋_GB2312" w:hint="eastAsia"/>
          <w:sz w:val="30"/>
          <w:szCs w:val="30"/>
        </w:rPr>
      </w:pPr>
      <w:r>
        <w:rPr>
          <w:rFonts w:ascii="仿宋_GB2312" w:eastAsia="仿宋_GB2312" w:hAnsi="仿宋_GB2312" w:cs="仿宋_GB2312" w:hint="eastAsia"/>
          <w:sz w:val="30"/>
          <w:szCs w:val="30"/>
        </w:rPr>
        <w:t>3</w:t>
      </w:r>
      <w:r w:rsidR="00D17116">
        <w:rPr>
          <w:rFonts w:ascii="仿宋_GB2312" w:eastAsia="仿宋_GB2312" w:hAnsi="仿宋_GB2312" w:cs="仿宋_GB2312" w:hint="eastAsia"/>
          <w:sz w:val="30"/>
          <w:szCs w:val="30"/>
        </w:rPr>
        <w:t>.</w:t>
      </w:r>
      <w:r w:rsidR="005B55F6" w:rsidRPr="0053713D">
        <w:rPr>
          <w:rFonts w:ascii="仿宋_GB2312" w:eastAsia="仿宋_GB2312" w:hAnsi="仿宋_GB2312" w:cs="仿宋_GB2312" w:hint="eastAsia"/>
          <w:sz w:val="30"/>
          <w:szCs w:val="30"/>
        </w:rPr>
        <w:t>点火</w:t>
      </w:r>
      <w:r w:rsidR="005B55F6">
        <w:rPr>
          <w:rFonts w:ascii="仿宋_GB2312" w:eastAsia="仿宋_GB2312" w:hAnsi="仿宋_GB2312" w:cs="仿宋_GB2312" w:hint="eastAsia"/>
          <w:sz w:val="30"/>
          <w:szCs w:val="30"/>
        </w:rPr>
        <w:t>：</w:t>
      </w:r>
      <w:r w:rsidR="000D72C5">
        <w:rPr>
          <w:rFonts w:ascii="仿宋_GB2312" w:eastAsia="仿宋_GB2312" w:hAnsi="仿宋_GB2312" w:cs="仿宋_GB2312" w:hint="eastAsia"/>
          <w:sz w:val="30"/>
          <w:szCs w:val="30"/>
        </w:rPr>
        <w:t>优先采用</w:t>
      </w:r>
      <w:r w:rsidR="000D72C5" w:rsidRPr="0053713D">
        <w:rPr>
          <w:rFonts w:ascii="仿宋_GB2312" w:eastAsia="仿宋_GB2312" w:hAnsi="仿宋_GB2312" w:cs="仿宋_GB2312" w:hint="eastAsia"/>
          <w:sz w:val="30"/>
          <w:szCs w:val="30"/>
        </w:rPr>
        <w:t>电点火设备或遥控引燃</w:t>
      </w:r>
      <w:r w:rsidR="000D72C5">
        <w:rPr>
          <w:rFonts w:ascii="仿宋_GB2312" w:eastAsia="仿宋_GB2312" w:hAnsi="仿宋_GB2312" w:cs="仿宋_GB2312" w:hint="eastAsia"/>
          <w:sz w:val="30"/>
          <w:szCs w:val="30"/>
        </w:rPr>
        <w:t>方式</w:t>
      </w:r>
      <w:r w:rsidR="000D72C5" w:rsidRPr="0053713D">
        <w:rPr>
          <w:rFonts w:ascii="仿宋_GB2312" w:eastAsia="仿宋_GB2312" w:hAnsi="仿宋_GB2312" w:cs="仿宋_GB2312" w:hint="eastAsia"/>
          <w:sz w:val="30"/>
          <w:szCs w:val="30"/>
        </w:rPr>
        <w:t>，</w:t>
      </w:r>
      <w:r w:rsidR="000D72C5">
        <w:rPr>
          <w:rFonts w:ascii="仿宋_GB2312" w:eastAsia="仿宋_GB2312" w:hAnsi="仿宋_GB2312" w:cs="仿宋_GB2312" w:hint="eastAsia"/>
          <w:sz w:val="30"/>
          <w:szCs w:val="30"/>
        </w:rPr>
        <w:t>点火前应进行</w:t>
      </w:r>
      <w:r w:rsidR="000D72C5" w:rsidRPr="0053713D">
        <w:rPr>
          <w:rFonts w:ascii="仿宋_GB2312" w:eastAsia="仿宋_GB2312" w:hAnsi="仿宋_GB2312" w:cs="仿宋_GB2312" w:hint="eastAsia"/>
          <w:sz w:val="30"/>
          <w:szCs w:val="30"/>
        </w:rPr>
        <w:t>现场检查，确保点火设备连接安装可靠，无其他危险源后，</w:t>
      </w:r>
      <w:r w:rsidR="000D72C5">
        <w:rPr>
          <w:rFonts w:ascii="仿宋_GB2312" w:eastAsia="仿宋_GB2312" w:hAnsi="仿宋_GB2312" w:cs="仿宋_GB2312" w:hint="eastAsia"/>
          <w:sz w:val="30"/>
          <w:szCs w:val="30"/>
        </w:rPr>
        <w:t>方可点火</w:t>
      </w:r>
      <w:r w:rsidR="000D72C5" w:rsidRPr="0053713D">
        <w:rPr>
          <w:rFonts w:ascii="仿宋_GB2312" w:eastAsia="仿宋_GB2312" w:hAnsi="仿宋_GB2312" w:cs="仿宋_GB2312" w:hint="eastAsia"/>
          <w:sz w:val="30"/>
          <w:szCs w:val="30"/>
        </w:rPr>
        <w:t>。</w:t>
      </w:r>
    </w:p>
    <w:p w:rsidR="001A6D77" w:rsidRPr="0053713D" w:rsidRDefault="00BF014A" w:rsidP="0053713D">
      <w:pPr>
        <w:topLinePunct/>
        <w:adjustRightInd w:val="0"/>
        <w:snapToGrid w:val="0"/>
        <w:spacing w:line="600" w:lineRule="exact"/>
        <w:ind w:firstLineChars="200" w:firstLine="600"/>
        <w:rPr>
          <w:rFonts w:ascii="仿宋_GB2312" w:eastAsia="仿宋_GB2312" w:hAnsi="仿宋_GB2312" w:cs="仿宋_GB2312" w:hint="eastAsia"/>
          <w:sz w:val="30"/>
          <w:szCs w:val="30"/>
        </w:rPr>
      </w:pPr>
      <w:r>
        <w:rPr>
          <w:rFonts w:ascii="仿宋_GB2312" w:eastAsia="仿宋_GB2312" w:hAnsi="仿宋_GB2312" w:cs="仿宋_GB2312" w:hint="eastAsia"/>
          <w:sz w:val="30"/>
          <w:szCs w:val="30"/>
        </w:rPr>
        <w:t>4</w:t>
      </w:r>
      <w:r w:rsidR="00D17116">
        <w:rPr>
          <w:rFonts w:ascii="仿宋_GB2312" w:eastAsia="仿宋_GB2312" w:hAnsi="仿宋_GB2312" w:cs="仿宋_GB2312" w:hint="eastAsia"/>
          <w:sz w:val="30"/>
          <w:szCs w:val="30"/>
        </w:rPr>
        <w:t>.</w:t>
      </w:r>
      <w:r w:rsidR="005B55F6">
        <w:rPr>
          <w:rFonts w:ascii="仿宋_GB2312" w:eastAsia="仿宋_GB2312" w:hAnsi="仿宋_GB2312" w:cs="仿宋_GB2312" w:hint="eastAsia"/>
          <w:sz w:val="30"/>
          <w:szCs w:val="30"/>
        </w:rPr>
        <w:t>焚烧</w:t>
      </w:r>
      <w:r w:rsidR="00780908" w:rsidRPr="0053713D">
        <w:rPr>
          <w:rFonts w:ascii="仿宋_GB2312" w:eastAsia="仿宋_GB2312" w:hAnsi="仿宋_GB2312" w:cs="仿宋_GB2312" w:hint="eastAsia"/>
          <w:sz w:val="30"/>
          <w:szCs w:val="30"/>
        </w:rPr>
        <w:t>结束后应对场地进行清理、清洁</w:t>
      </w:r>
      <w:r>
        <w:rPr>
          <w:rFonts w:ascii="仿宋_GB2312" w:eastAsia="仿宋_GB2312" w:hAnsi="仿宋_GB2312" w:cs="仿宋_GB2312" w:hint="eastAsia"/>
          <w:sz w:val="30"/>
          <w:szCs w:val="30"/>
        </w:rPr>
        <w:t>，</w:t>
      </w:r>
      <w:r w:rsidR="005B55F6" w:rsidRPr="0053713D">
        <w:rPr>
          <w:rFonts w:ascii="仿宋_GB2312" w:eastAsia="仿宋_GB2312" w:hAnsi="仿宋_GB2312" w:cs="仿宋_GB2312" w:hint="eastAsia"/>
          <w:sz w:val="30"/>
          <w:szCs w:val="30"/>
        </w:rPr>
        <w:t>现场检查清场</w:t>
      </w:r>
      <w:r w:rsidR="005B55F6">
        <w:rPr>
          <w:rFonts w:ascii="仿宋_GB2312" w:eastAsia="仿宋_GB2312" w:hAnsi="仿宋_GB2312" w:cs="仿宋_GB2312" w:hint="eastAsia"/>
          <w:sz w:val="30"/>
          <w:szCs w:val="30"/>
        </w:rPr>
        <w:t>应在</w:t>
      </w:r>
      <w:r w:rsidR="005B55F6" w:rsidRPr="0053713D">
        <w:rPr>
          <w:rFonts w:ascii="仿宋_GB2312" w:eastAsia="仿宋_GB2312" w:hAnsi="仿宋_GB2312" w:cs="仿宋_GB2312" w:hint="eastAsia"/>
          <w:sz w:val="30"/>
          <w:szCs w:val="30"/>
        </w:rPr>
        <w:t>确定</w:t>
      </w:r>
      <w:r w:rsidR="005B55F6">
        <w:rPr>
          <w:rFonts w:ascii="仿宋_GB2312" w:eastAsia="仿宋_GB2312" w:hAnsi="仿宋_GB2312" w:cs="仿宋_GB2312" w:hint="eastAsia"/>
          <w:sz w:val="30"/>
          <w:szCs w:val="30"/>
        </w:rPr>
        <w:t>燃烧、爆炸停止</w:t>
      </w:r>
      <w:r w:rsidR="00780908" w:rsidRPr="0053713D">
        <w:rPr>
          <w:rFonts w:ascii="仿宋_GB2312" w:eastAsia="仿宋_GB2312" w:hAnsi="仿宋_GB2312" w:cs="仿宋_GB2312" w:hint="eastAsia"/>
          <w:sz w:val="30"/>
          <w:szCs w:val="30"/>
        </w:rPr>
        <w:t>l</w:t>
      </w:r>
      <w:r w:rsidR="00780908">
        <w:rPr>
          <w:rFonts w:ascii="仿宋_GB2312" w:eastAsia="仿宋_GB2312" w:hAnsi="仿宋_GB2312" w:cs="仿宋_GB2312" w:hint="eastAsia"/>
          <w:sz w:val="30"/>
          <w:szCs w:val="30"/>
        </w:rPr>
        <w:t>小时</w:t>
      </w:r>
      <w:r w:rsidR="00780908" w:rsidRPr="0053713D">
        <w:rPr>
          <w:rFonts w:ascii="仿宋_GB2312" w:eastAsia="仿宋_GB2312" w:hAnsi="仿宋_GB2312" w:cs="仿宋_GB2312" w:hint="eastAsia"/>
          <w:sz w:val="30"/>
          <w:szCs w:val="30"/>
        </w:rPr>
        <w:t>后进行</w:t>
      </w:r>
      <w:r w:rsidR="001A6D77" w:rsidRPr="0053713D">
        <w:rPr>
          <w:rFonts w:ascii="仿宋_GB2312" w:eastAsia="仿宋_GB2312" w:hAnsi="仿宋_GB2312" w:cs="仿宋_GB2312" w:hint="eastAsia"/>
          <w:sz w:val="30"/>
          <w:szCs w:val="30"/>
        </w:rPr>
        <w:t>。</w:t>
      </w:r>
    </w:p>
    <w:p w:rsidR="001A6D77" w:rsidRPr="0053713D" w:rsidRDefault="00A936D5" w:rsidP="0053713D">
      <w:pPr>
        <w:topLinePunct/>
        <w:adjustRightInd w:val="0"/>
        <w:snapToGrid w:val="0"/>
        <w:spacing w:line="600" w:lineRule="exact"/>
        <w:ind w:firstLineChars="200" w:firstLine="600"/>
        <w:rPr>
          <w:rFonts w:ascii="黑体" w:eastAsia="黑体" w:hAnsi="仿宋_GB2312" w:cs="仿宋_GB2312" w:hint="eastAsia"/>
          <w:sz w:val="30"/>
          <w:szCs w:val="30"/>
        </w:rPr>
      </w:pPr>
      <w:r>
        <w:rPr>
          <w:rFonts w:ascii="黑体" w:eastAsia="黑体" w:hAnsi="仿宋_GB2312" w:cs="仿宋_GB2312" w:hint="eastAsia"/>
          <w:sz w:val="30"/>
          <w:szCs w:val="30"/>
        </w:rPr>
        <w:t>三</w:t>
      </w:r>
      <w:r w:rsidR="001A6D77" w:rsidRPr="0053713D">
        <w:rPr>
          <w:rFonts w:ascii="黑体" w:eastAsia="黑体" w:hAnsi="仿宋_GB2312" w:cs="仿宋_GB2312" w:hint="eastAsia"/>
          <w:sz w:val="30"/>
          <w:szCs w:val="30"/>
        </w:rPr>
        <w:t>、销毁场地</w:t>
      </w:r>
      <w:r w:rsidR="00836967">
        <w:rPr>
          <w:rFonts w:ascii="黑体" w:eastAsia="黑体" w:hAnsi="仿宋_GB2312" w:cs="仿宋_GB2312" w:hint="eastAsia"/>
          <w:sz w:val="30"/>
          <w:szCs w:val="30"/>
        </w:rPr>
        <w:t>及环境</w:t>
      </w:r>
      <w:r w:rsidR="001A6D77" w:rsidRPr="0053713D">
        <w:rPr>
          <w:rFonts w:ascii="黑体" w:eastAsia="黑体" w:hAnsi="仿宋_GB2312" w:cs="仿宋_GB2312" w:hint="eastAsia"/>
          <w:sz w:val="30"/>
          <w:szCs w:val="30"/>
        </w:rPr>
        <w:t>要求</w:t>
      </w:r>
    </w:p>
    <w:p w:rsidR="001A6D77" w:rsidRPr="0053713D" w:rsidRDefault="003A6D4B" w:rsidP="0053713D">
      <w:pPr>
        <w:topLinePunct/>
        <w:adjustRightInd w:val="0"/>
        <w:snapToGrid w:val="0"/>
        <w:spacing w:line="600" w:lineRule="exact"/>
        <w:ind w:firstLineChars="200" w:firstLine="600"/>
        <w:rPr>
          <w:rFonts w:ascii="仿宋_GB2312" w:eastAsia="仿宋_GB2312" w:hAnsi="仿宋_GB2312" w:cs="仿宋_GB2312" w:hint="eastAsia"/>
          <w:sz w:val="30"/>
          <w:szCs w:val="30"/>
        </w:rPr>
      </w:pPr>
      <w:r>
        <w:rPr>
          <w:rFonts w:ascii="仿宋_GB2312" w:eastAsia="仿宋_GB2312" w:hAnsi="仿宋_GB2312" w:cs="仿宋_GB2312" w:hint="eastAsia"/>
          <w:sz w:val="30"/>
          <w:szCs w:val="30"/>
        </w:rPr>
        <w:t>（一）</w:t>
      </w:r>
      <w:r w:rsidR="001A6D77" w:rsidRPr="0053713D">
        <w:rPr>
          <w:rFonts w:ascii="仿宋_GB2312" w:eastAsia="仿宋_GB2312" w:hAnsi="仿宋_GB2312" w:cs="仿宋_GB2312" w:hint="eastAsia"/>
          <w:sz w:val="30"/>
          <w:szCs w:val="30"/>
        </w:rPr>
        <w:t>户外焚烧法销毁场</w:t>
      </w:r>
      <w:r w:rsidR="001274D8">
        <w:rPr>
          <w:rFonts w:ascii="仿宋_GB2312" w:eastAsia="仿宋_GB2312" w:hAnsi="仿宋_GB2312" w:cs="仿宋_GB2312" w:hint="eastAsia"/>
          <w:sz w:val="30"/>
          <w:szCs w:val="30"/>
        </w:rPr>
        <w:t>地</w:t>
      </w:r>
      <w:r w:rsidR="001A6D77" w:rsidRPr="0053713D">
        <w:rPr>
          <w:rFonts w:ascii="仿宋_GB2312" w:eastAsia="仿宋_GB2312" w:hAnsi="仿宋_GB2312" w:cs="仿宋_GB2312" w:hint="eastAsia"/>
          <w:sz w:val="30"/>
          <w:szCs w:val="30"/>
        </w:rPr>
        <w:t>宜设在有天然屏障的山沟、盆地、河滩、丘陵地带，地面平坦无裂缝</w:t>
      </w:r>
      <w:r w:rsidR="005B55F6" w:rsidRPr="0053713D">
        <w:rPr>
          <w:rFonts w:ascii="仿宋_GB2312" w:eastAsia="仿宋_GB2312" w:hAnsi="仿宋_GB2312" w:cs="仿宋_GB2312" w:hint="eastAsia"/>
          <w:sz w:val="30"/>
          <w:szCs w:val="30"/>
        </w:rPr>
        <w:t>、</w:t>
      </w:r>
      <w:r w:rsidR="001A6D77" w:rsidRPr="0053713D">
        <w:rPr>
          <w:rFonts w:ascii="仿宋_GB2312" w:eastAsia="仿宋_GB2312" w:hAnsi="仿宋_GB2312" w:cs="仿宋_GB2312" w:hint="eastAsia"/>
          <w:sz w:val="30"/>
          <w:szCs w:val="30"/>
        </w:rPr>
        <w:t>无树木</w:t>
      </w:r>
      <w:r w:rsidR="005B55F6">
        <w:rPr>
          <w:rFonts w:ascii="仿宋_GB2312" w:eastAsia="仿宋_GB2312" w:hAnsi="仿宋_GB2312" w:cs="仿宋_GB2312" w:hint="eastAsia"/>
          <w:sz w:val="30"/>
          <w:szCs w:val="30"/>
        </w:rPr>
        <w:t>和</w:t>
      </w:r>
      <w:r w:rsidR="001A6D77" w:rsidRPr="0053713D">
        <w:rPr>
          <w:rFonts w:ascii="仿宋_GB2312" w:eastAsia="仿宋_GB2312" w:hAnsi="仿宋_GB2312" w:cs="仿宋_GB2312" w:hint="eastAsia"/>
          <w:sz w:val="30"/>
          <w:szCs w:val="30"/>
        </w:rPr>
        <w:t>杂草等易燃物，且为单独场地。</w:t>
      </w:r>
    </w:p>
    <w:p w:rsidR="001A6D77" w:rsidRPr="0053713D" w:rsidRDefault="003A6D4B" w:rsidP="0053713D">
      <w:pPr>
        <w:topLinePunct/>
        <w:adjustRightInd w:val="0"/>
        <w:snapToGrid w:val="0"/>
        <w:spacing w:line="600" w:lineRule="exact"/>
        <w:ind w:firstLineChars="200" w:firstLine="600"/>
        <w:rPr>
          <w:rFonts w:ascii="仿宋_GB2312" w:eastAsia="仿宋_GB2312" w:hAnsi="仿宋_GB2312" w:cs="仿宋_GB2312" w:hint="eastAsia"/>
          <w:sz w:val="30"/>
          <w:szCs w:val="30"/>
        </w:rPr>
      </w:pPr>
      <w:r>
        <w:rPr>
          <w:rFonts w:ascii="仿宋_GB2312" w:eastAsia="仿宋_GB2312" w:hAnsi="仿宋_GB2312" w:cs="仿宋_GB2312" w:hint="eastAsia"/>
          <w:sz w:val="30"/>
          <w:szCs w:val="30"/>
        </w:rPr>
        <w:t>（二）</w:t>
      </w:r>
      <w:r w:rsidR="001A6D77" w:rsidRPr="0053713D">
        <w:rPr>
          <w:rFonts w:ascii="仿宋_GB2312" w:eastAsia="仿宋_GB2312" w:hAnsi="仿宋_GB2312" w:cs="仿宋_GB2312" w:hint="eastAsia"/>
          <w:sz w:val="30"/>
          <w:szCs w:val="30"/>
        </w:rPr>
        <w:t>销毁场</w:t>
      </w:r>
      <w:r w:rsidR="001274D8">
        <w:rPr>
          <w:rFonts w:ascii="仿宋_GB2312" w:eastAsia="仿宋_GB2312" w:hAnsi="仿宋_GB2312" w:cs="仿宋_GB2312" w:hint="eastAsia"/>
          <w:sz w:val="30"/>
          <w:szCs w:val="30"/>
        </w:rPr>
        <w:t>地</w:t>
      </w:r>
      <w:r w:rsidR="001A6D77" w:rsidRPr="0053713D">
        <w:rPr>
          <w:rFonts w:ascii="仿宋_GB2312" w:eastAsia="仿宋_GB2312" w:hAnsi="仿宋_GB2312" w:cs="仿宋_GB2312" w:hint="eastAsia"/>
          <w:sz w:val="30"/>
          <w:szCs w:val="30"/>
        </w:rPr>
        <w:t>面积应符合下列要求：</w:t>
      </w:r>
    </w:p>
    <w:p w:rsidR="001A6D77" w:rsidRPr="0053713D" w:rsidRDefault="003A6D4B" w:rsidP="0053713D">
      <w:pPr>
        <w:topLinePunct/>
        <w:adjustRightInd w:val="0"/>
        <w:snapToGrid w:val="0"/>
        <w:spacing w:line="600" w:lineRule="exact"/>
        <w:ind w:firstLineChars="200" w:firstLine="600"/>
        <w:rPr>
          <w:rFonts w:ascii="仿宋_GB2312" w:eastAsia="仿宋_GB2312" w:hAnsi="仿宋_GB2312" w:cs="仿宋_GB2312" w:hint="eastAsia"/>
          <w:sz w:val="30"/>
          <w:szCs w:val="30"/>
        </w:rPr>
      </w:pPr>
      <w:r>
        <w:rPr>
          <w:rFonts w:ascii="仿宋_GB2312" w:eastAsia="仿宋_GB2312" w:hAnsi="仿宋_GB2312" w:cs="仿宋_GB2312" w:hint="eastAsia"/>
          <w:sz w:val="30"/>
          <w:szCs w:val="30"/>
        </w:rPr>
        <w:t>1.</w:t>
      </w:r>
      <w:r w:rsidR="001274D8" w:rsidRPr="0053713D">
        <w:rPr>
          <w:rFonts w:ascii="仿宋_GB2312" w:eastAsia="仿宋_GB2312" w:hAnsi="仿宋_GB2312" w:cs="仿宋_GB2312" w:hint="eastAsia"/>
          <w:sz w:val="30"/>
          <w:szCs w:val="30"/>
        </w:rPr>
        <w:t>户外</w:t>
      </w:r>
      <w:r w:rsidR="001A6D77" w:rsidRPr="0053713D">
        <w:rPr>
          <w:rFonts w:ascii="仿宋_GB2312" w:eastAsia="仿宋_GB2312" w:hAnsi="仿宋_GB2312" w:cs="仿宋_GB2312" w:hint="eastAsia"/>
          <w:sz w:val="30"/>
          <w:szCs w:val="30"/>
        </w:rPr>
        <w:t>焚烧法场地直径不小于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0"/>
          <w:attr w:name="UnitName" w:val="米"/>
        </w:smartTagPr>
        <w:r w:rsidR="001A6D77" w:rsidRPr="0053713D">
          <w:rPr>
            <w:rFonts w:ascii="仿宋_GB2312" w:eastAsia="仿宋_GB2312" w:hAnsi="仿宋_GB2312" w:cs="仿宋_GB2312" w:hint="eastAsia"/>
            <w:sz w:val="30"/>
            <w:szCs w:val="30"/>
          </w:rPr>
          <w:t>100</w:t>
        </w:r>
        <w:r w:rsidR="0006773D">
          <w:rPr>
            <w:rFonts w:ascii="仿宋_GB2312" w:eastAsia="仿宋_GB2312" w:hAnsi="仿宋_GB2312" w:cs="仿宋_GB2312" w:hint="eastAsia"/>
            <w:sz w:val="30"/>
            <w:szCs w:val="30"/>
          </w:rPr>
          <w:t>米</w:t>
        </w:r>
      </w:smartTag>
      <w:r w:rsidR="001A6D77" w:rsidRPr="0053713D">
        <w:rPr>
          <w:rFonts w:ascii="仿宋_GB2312" w:eastAsia="仿宋_GB2312" w:hAnsi="仿宋_GB2312" w:cs="仿宋_GB2312" w:hint="eastAsia"/>
          <w:sz w:val="30"/>
          <w:szCs w:val="30"/>
        </w:rPr>
        <w:t>,燃放法场地直径应</w:t>
      </w:r>
      <w:r w:rsidR="00A36F04">
        <w:rPr>
          <w:rFonts w:ascii="仿宋_GB2312" w:eastAsia="仿宋_GB2312" w:hAnsi="仿宋_GB2312" w:cs="仿宋_GB2312" w:hint="eastAsia"/>
          <w:sz w:val="30"/>
          <w:szCs w:val="30"/>
        </w:rPr>
        <w:t>不</w:t>
      </w:r>
      <w:r w:rsidR="001A6D77" w:rsidRPr="0053713D">
        <w:rPr>
          <w:rFonts w:ascii="仿宋_GB2312" w:eastAsia="仿宋_GB2312" w:hAnsi="仿宋_GB2312" w:cs="仿宋_GB2312" w:hint="eastAsia"/>
          <w:sz w:val="30"/>
          <w:szCs w:val="30"/>
        </w:rPr>
        <w:t>小于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0"/>
          <w:attr w:name="UnitName" w:val="米"/>
        </w:smartTagPr>
        <w:r w:rsidR="001A6D77" w:rsidRPr="0053713D">
          <w:rPr>
            <w:rFonts w:ascii="仿宋_GB2312" w:eastAsia="仿宋_GB2312" w:hAnsi="仿宋_GB2312" w:cs="仿宋_GB2312" w:hint="eastAsia"/>
            <w:sz w:val="30"/>
            <w:szCs w:val="30"/>
          </w:rPr>
          <w:t>50</w:t>
        </w:r>
        <w:r w:rsidR="0006773D">
          <w:rPr>
            <w:rFonts w:ascii="仿宋_GB2312" w:eastAsia="仿宋_GB2312" w:hAnsi="仿宋_GB2312" w:cs="仿宋_GB2312" w:hint="eastAsia"/>
            <w:sz w:val="30"/>
            <w:szCs w:val="30"/>
          </w:rPr>
          <w:t>米</w:t>
        </w:r>
      </w:smartTag>
      <w:r w:rsidR="001A6D77" w:rsidRPr="0053713D">
        <w:rPr>
          <w:rFonts w:ascii="仿宋_GB2312" w:eastAsia="仿宋_GB2312" w:hAnsi="仿宋_GB2312" w:cs="仿宋_GB2312" w:hint="eastAsia"/>
          <w:sz w:val="30"/>
          <w:szCs w:val="30"/>
        </w:rPr>
        <w:t>，销毁场地边缘以外应设防火区。</w:t>
      </w:r>
    </w:p>
    <w:p w:rsidR="001A6D77" w:rsidRPr="0053713D" w:rsidRDefault="003A6D4B" w:rsidP="0053713D">
      <w:pPr>
        <w:topLinePunct/>
        <w:adjustRightInd w:val="0"/>
        <w:snapToGrid w:val="0"/>
        <w:spacing w:line="600" w:lineRule="exact"/>
        <w:ind w:firstLineChars="200" w:firstLine="600"/>
        <w:rPr>
          <w:rFonts w:ascii="仿宋_GB2312" w:eastAsia="仿宋_GB2312" w:hAnsi="仿宋_GB2312" w:cs="仿宋_GB2312" w:hint="eastAsia"/>
          <w:sz w:val="30"/>
          <w:szCs w:val="30"/>
        </w:rPr>
      </w:pPr>
      <w:r>
        <w:rPr>
          <w:rFonts w:ascii="仿宋_GB2312" w:eastAsia="仿宋_GB2312" w:hAnsi="仿宋_GB2312" w:cs="仿宋_GB2312" w:hint="eastAsia"/>
          <w:sz w:val="30"/>
          <w:szCs w:val="30"/>
        </w:rPr>
        <w:t>2.</w:t>
      </w:r>
      <w:r w:rsidR="001A6D77" w:rsidRPr="0053713D">
        <w:rPr>
          <w:rFonts w:ascii="仿宋_GB2312" w:eastAsia="仿宋_GB2312" w:hAnsi="仿宋_GB2312" w:cs="仿宋_GB2312" w:hint="eastAsia"/>
          <w:sz w:val="30"/>
          <w:szCs w:val="30"/>
        </w:rPr>
        <w:t>户外焚烧</w:t>
      </w:r>
      <w:r w:rsidR="00F13F1B">
        <w:rPr>
          <w:rFonts w:ascii="仿宋_GB2312" w:eastAsia="仿宋_GB2312" w:hAnsi="仿宋_GB2312" w:cs="仿宋_GB2312" w:hint="eastAsia"/>
          <w:sz w:val="30"/>
          <w:szCs w:val="30"/>
        </w:rPr>
        <w:t>法</w:t>
      </w:r>
      <w:r w:rsidR="001A6D77" w:rsidRPr="0053713D">
        <w:rPr>
          <w:rFonts w:ascii="仿宋_GB2312" w:eastAsia="仿宋_GB2312" w:hAnsi="仿宋_GB2312" w:cs="仿宋_GB2312" w:hint="eastAsia"/>
          <w:sz w:val="30"/>
          <w:szCs w:val="30"/>
        </w:rPr>
        <w:t>销毁场</w:t>
      </w:r>
      <w:r w:rsidR="001274D8">
        <w:rPr>
          <w:rFonts w:ascii="仿宋_GB2312" w:eastAsia="仿宋_GB2312" w:hAnsi="仿宋_GB2312" w:cs="仿宋_GB2312" w:hint="eastAsia"/>
          <w:sz w:val="30"/>
          <w:szCs w:val="30"/>
        </w:rPr>
        <w:t>地</w:t>
      </w:r>
      <w:r w:rsidR="001A6D77" w:rsidRPr="0053713D">
        <w:rPr>
          <w:rFonts w:ascii="仿宋_GB2312" w:eastAsia="仿宋_GB2312" w:hAnsi="仿宋_GB2312" w:cs="仿宋_GB2312" w:hint="eastAsia"/>
          <w:sz w:val="30"/>
          <w:szCs w:val="30"/>
        </w:rPr>
        <w:t>边缘与周边建筑物、人员、重要场所的外部</w:t>
      </w:r>
      <w:r w:rsidR="006A1B58">
        <w:rPr>
          <w:rFonts w:ascii="仿宋_GB2312" w:eastAsia="仿宋_GB2312" w:hAnsi="仿宋_GB2312" w:cs="仿宋_GB2312" w:hint="eastAsia"/>
          <w:sz w:val="30"/>
          <w:szCs w:val="30"/>
        </w:rPr>
        <w:t>安全</w:t>
      </w:r>
      <w:r w:rsidR="001A6D77" w:rsidRPr="0053713D">
        <w:rPr>
          <w:rFonts w:ascii="仿宋_GB2312" w:eastAsia="仿宋_GB2312" w:hAnsi="仿宋_GB2312" w:cs="仿宋_GB2312" w:hint="eastAsia"/>
          <w:sz w:val="30"/>
          <w:szCs w:val="30"/>
        </w:rPr>
        <w:t>距离应根据销毁物品的类别和药量，按</w:t>
      </w:r>
      <w:r w:rsidR="00586B6A">
        <w:rPr>
          <w:rFonts w:ascii="仿宋_GB2312" w:eastAsia="仿宋_GB2312" w:hAnsi="仿宋_GB2312" w:cs="仿宋_GB2312" w:hint="eastAsia"/>
          <w:sz w:val="30"/>
          <w:szCs w:val="30"/>
        </w:rPr>
        <w:t>《烟花爆竹工程设计安全规范》（GB</w:t>
      </w:r>
      <w:r w:rsidR="00586B6A" w:rsidRPr="0053713D">
        <w:rPr>
          <w:rFonts w:ascii="仿宋_GB2312" w:eastAsia="仿宋_GB2312" w:hAnsi="仿宋_GB2312" w:cs="仿宋_GB2312" w:hint="eastAsia"/>
          <w:sz w:val="30"/>
          <w:szCs w:val="30"/>
        </w:rPr>
        <w:t>50161</w:t>
      </w:r>
      <w:r w:rsidR="00586B6A">
        <w:rPr>
          <w:rFonts w:ascii="仿宋_GB2312" w:eastAsia="仿宋_GB2312" w:hAnsi="仿宋_GB2312" w:cs="仿宋_GB2312" w:hint="eastAsia"/>
          <w:sz w:val="30"/>
          <w:szCs w:val="30"/>
        </w:rPr>
        <w:t>—2009）</w:t>
      </w:r>
      <w:r w:rsidR="001A6D77" w:rsidRPr="0053713D">
        <w:rPr>
          <w:rFonts w:ascii="仿宋_GB2312" w:eastAsia="仿宋_GB2312" w:hAnsi="仿宋_GB2312" w:cs="仿宋_GB2312" w:hint="eastAsia"/>
          <w:sz w:val="30"/>
          <w:szCs w:val="30"/>
        </w:rPr>
        <w:t>第4.2.2</w:t>
      </w:r>
      <w:r w:rsidR="009A56C4">
        <w:rPr>
          <w:rFonts w:ascii="仿宋_GB2312" w:eastAsia="仿宋_GB2312" w:hAnsi="仿宋_GB2312" w:cs="仿宋_GB2312" w:hint="eastAsia"/>
          <w:sz w:val="30"/>
          <w:szCs w:val="30"/>
        </w:rPr>
        <w:t>条</w:t>
      </w:r>
      <w:r w:rsidR="001A6D77" w:rsidRPr="0053713D">
        <w:rPr>
          <w:rFonts w:ascii="仿宋_GB2312" w:eastAsia="仿宋_GB2312" w:hAnsi="仿宋_GB2312" w:cs="仿宋_GB2312" w:hint="eastAsia"/>
          <w:sz w:val="30"/>
          <w:szCs w:val="30"/>
        </w:rPr>
        <w:t>规定距离的</w:t>
      </w:r>
      <w:r w:rsidR="00CF6768">
        <w:rPr>
          <w:rFonts w:ascii="仿宋_GB2312" w:eastAsia="仿宋_GB2312" w:hAnsi="仿宋_GB2312" w:cs="仿宋_GB2312" w:hint="eastAsia"/>
          <w:sz w:val="30"/>
          <w:szCs w:val="30"/>
        </w:rPr>
        <w:t>2倍</w:t>
      </w:r>
      <w:r w:rsidR="001A6D77" w:rsidRPr="0053713D">
        <w:rPr>
          <w:rFonts w:ascii="仿宋_GB2312" w:eastAsia="仿宋_GB2312" w:hAnsi="仿宋_GB2312" w:cs="仿宋_GB2312" w:hint="eastAsia"/>
          <w:sz w:val="30"/>
          <w:szCs w:val="30"/>
        </w:rPr>
        <w:t>确定，并应在外部安全距离以外设置警戒线。</w:t>
      </w:r>
    </w:p>
    <w:p w:rsidR="001A6D77" w:rsidRPr="0053713D" w:rsidRDefault="003A6D4B" w:rsidP="0053713D">
      <w:pPr>
        <w:topLinePunct/>
        <w:adjustRightInd w:val="0"/>
        <w:snapToGrid w:val="0"/>
        <w:spacing w:line="600" w:lineRule="exact"/>
        <w:ind w:firstLineChars="200" w:firstLine="600"/>
        <w:rPr>
          <w:rFonts w:ascii="仿宋_GB2312" w:eastAsia="仿宋_GB2312" w:hAnsi="仿宋_GB2312" w:cs="仿宋_GB2312" w:hint="eastAsia"/>
          <w:sz w:val="30"/>
          <w:szCs w:val="30"/>
        </w:rPr>
      </w:pPr>
      <w:r>
        <w:rPr>
          <w:rFonts w:ascii="仿宋_GB2312" w:eastAsia="仿宋_GB2312" w:hAnsi="仿宋_GB2312" w:cs="仿宋_GB2312" w:hint="eastAsia"/>
          <w:sz w:val="30"/>
          <w:szCs w:val="30"/>
        </w:rPr>
        <w:t>3.</w:t>
      </w:r>
      <w:r w:rsidR="001A6D77" w:rsidRPr="0053713D">
        <w:rPr>
          <w:rFonts w:ascii="仿宋_GB2312" w:eastAsia="仿宋_GB2312" w:hAnsi="仿宋_GB2312" w:cs="仿宋_GB2312" w:hint="eastAsia"/>
          <w:sz w:val="30"/>
          <w:szCs w:val="30"/>
        </w:rPr>
        <w:t>燃放法销毁场</w:t>
      </w:r>
      <w:r w:rsidR="001274D8">
        <w:rPr>
          <w:rFonts w:ascii="仿宋_GB2312" w:eastAsia="仿宋_GB2312" w:hAnsi="仿宋_GB2312" w:cs="仿宋_GB2312" w:hint="eastAsia"/>
          <w:sz w:val="30"/>
          <w:szCs w:val="30"/>
        </w:rPr>
        <w:t>地</w:t>
      </w:r>
      <w:r w:rsidR="001A6D77" w:rsidRPr="0053713D">
        <w:rPr>
          <w:rFonts w:ascii="仿宋_GB2312" w:eastAsia="仿宋_GB2312" w:hAnsi="仿宋_GB2312" w:cs="仿宋_GB2312" w:hint="eastAsia"/>
          <w:sz w:val="30"/>
          <w:szCs w:val="30"/>
        </w:rPr>
        <w:t>边缘与周边建筑物、人员、重要场所的</w:t>
      </w:r>
      <w:r w:rsidR="00F13F1B">
        <w:rPr>
          <w:rFonts w:ascii="仿宋_GB2312" w:eastAsia="仿宋_GB2312" w:hAnsi="仿宋_GB2312" w:cs="仿宋_GB2312" w:hint="eastAsia"/>
          <w:sz w:val="30"/>
          <w:szCs w:val="30"/>
        </w:rPr>
        <w:t>外部</w:t>
      </w:r>
      <w:r w:rsidR="00B26B04">
        <w:rPr>
          <w:rFonts w:ascii="仿宋_GB2312" w:eastAsia="仿宋_GB2312" w:hAnsi="仿宋_GB2312" w:cs="仿宋_GB2312" w:hint="eastAsia"/>
          <w:sz w:val="30"/>
          <w:szCs w:val="30"/>
        </w:rPr>
        <w:t>安全</w:t>
      </w:r>
      <w:r w:rsidR="001A6D77" w:rsidRPr="0053713D">
        <w:rPr>
          <w:rFonts w:ascii="仿宋_GB2312" w:eastAsia="仿宋_GB2312" w:hAnsi="仿宋_GB2312" w:cs="仿宋_GB2312" w:hint="eastAsia"/>
          <w:sz w:val="30"/>
          <w:szCs w:val="30"/>
        </w:rPr>
        <w:t>距离应</w:t>
      </w:r>
      <w:r w:rsidR="00F13F1B">
        <w:rPr>
          <w:rFonts w:ascii="仿宋_GB2312" w:eastAsia="仿宋_GB2312" w:hAnsi="仿宋_GB2312" w:cs="仿宋_GB2312" w:hint="eastAsia"/>
          <w:sz w:val="30"/>
          <w:szCs w:val="30"/>
        </w:rPr>
        <w:t>按</w:t>
      </w:r>
      <w:r w:rsidR="009A56C4">
        <w:rPr>
          <w:rFonts w:ascii="仿宋_GB2312" w:eastAsia="仿宋_GB2312" w:hAnsi="仿宋_GB2312" w:cs="仿宋_GB2312" w:hint="eastAsia"/>
          <w:sz w:val="30"/>
          <w:szCs w:val="30"/>
        </w:rPr>
        <w:t>《烟花爆竹工程设计</w:t>
      </w:r>
      <w:r w:rsidR="001C1B54">
        <w:rPr>
          <w:rFonts w:ascii="仿宋_GB2312" w:eastAsia="仿宋_GB2312" w:hAnsi="仿宋_GB2312" w:cs="仿宋_GB2312" w:hint="eastAsia"/>
          <w:sz w:val="30"/>
          <w:szCs w:val="30"/>
        </w:rPr>
        <w:t>安全</w:t>
      </w:r>
      <w:r w:rsidR="009A56C4">
        <w:rPr>
          <w:rFonts w:ascii="仿宋_GB2312" w:eastAsia="仿宋_GB2312" w:hAnsi="仿宋_GB2312" w:cs="仿宋_GB2312" w:hint="eastAsia"/>
          <w:sz w:val="30"/>
          <w:szCs w:val="30"/>
        </w:rPr>
        <w:t>规范》</w:t>
      </w:r>
      <w:r w:rsidR="00F13F1B" w:rsidRPr="0053713D">
        <w:rPr>
          <w:rFonts w:ascii="仿宋_GB2312" w:eastAsia="仿宋_GB2312" w:hAnsi="仿宋_GB2312" w:cs="仿宋_GB2312" w:hint="eastAsia"/>
          <w:sz w:val="30"/>
          <w:szCs w:val="30"/>
        </w:rPr>
        <w:t>第4.</w:t>
      </w:r>
      <w:r w:rsidR="00F13F1B">
        <w:rPr>
          <w:rFonts w:ascii="仿宋_GB2312" w:eastAsia="仿宋_GB2312" w:hAnsi="仿宋_GB2312" w:cs="仿宋_GB2312" w:hint="eastAsia"/>
          <w:sz w:val="30"/>
          <w:szCs w:val="30"/>
        </w:rPr>
        <w:t>4</w:t>
      </w:r>
      <w:r w:rsidR="00F13F1B" w:rsidRPr="0053713D">
        <w:rPr>
          <w:rFonts w:ascii="仿宋_GB2312" w:eastAsia="仿宋_GB2312" w:hAnsi="仿宋_GB2312" w:cs="仿宋_GB2312" w:hint="eastAsia"/>
          <w:sz w:val="30"/>
          <w:szCs w:val="30"/>
        </w:rPr>
        <w:t>.</w:t>
      </w:r>
      <w:r w:rsidR="00F13F1B">
        <w:rPr>
          <w:rFonts w:ascii="仿宋_GB2312" w:eastAsia="仿宋_GB2312" w:hAnsi="仿宋_GB2312" w:cs="仿宋_GB2312" w:hint="eastAsia"/>
          <w:sz w:val="30"/>
          <w:szCs w:val="30"/>
        </w:rPr>
        <w:t>1</w:t>
      </w:r>
      <w:r w:rsidR="00393E41">
        <w:rPr>
          <w:rFonts w:ascii="仿宋_GB2312" w:eastAsia="仿宋_GB2312" w:hAnsi="仿宋_GB2312" w:cs="仿宋_GB2312" w:hint="eastAsia"/>
          <w:sz w:val="30"/>
          <w:szCs w:val="30"/>
        </w:rPr>
        <w:t>条</w:t>
      </w:r>
      <w:r w:rsidR="00F13F1B">
        <w:rPr>
          <w:rFonts w:ascii="仿宋_GB2312" w:eastAsia="仿宋_GB2312" w:hAnsi="仿宋_GB2312" w:cs="仿宋_GB2312" w:hint="eastAsia"/>
          <w:sz w:val="30"/>
          <w:szCs w:val="30"/>
        </w:rPr>
        <w:t>规定距离确定</w:t>
      </w:r>
      <w:r w:rsidR="001A6D77" w:rsidRPr="0053713D">
        <w:rPr>
          <w:rFonts w:ascii="仿宋_GB2312" w:eastAsia="仿宋_GB2312" w:hAnsi="仿宋_GB2312" w:cs="仿宋_GB2312" w:hint="eastAsia"/>
          <w:sz w:val="30"/>
          <w:szCs w:val="30"/>
        </w:rPr>
        <w:t>，并应在外部安全距离以外设置警戒线。</w:t>
      </w:r>
    </w:p>
    <w:p w:rsidR="001A6D77" w:rsidRPr="0053713D" w:rsidRDefault="003A6D4B" w:rsidP="0053713D">
      <w:pPr>
        <w:topLinePunct/>
        <w:adjustRightInd w:val="0"/>
        <w:snapToGrid w:val="0"/>
        <w:spacing w:line="600" w:lineRule="exact"/>
        <w:ind w:firstLineChars="200" w:firstLine="600"/>
        <w:rPr>
          <w:rFonts w:ascii="仿宋_GB2312" w:eastAsia="仿宋_GB2312" w:hAnsi="仿宋_GB2312" w:cs="仿宋_GB2312" w:hint="eastAsia"/>
          <w:sz w:val="30"/>
          <w:szCs w:val="30"/>
        </w:rPr>
      </w:pPr>
      <w:r>
        <w:rPr>
          <w:rFonts w:ascii="仿宋_GB2312" w:eastAsia="仿宋_GB2312" w:hAnsi="仿宋_GB2312" w:cs="仿宋_GB2312" w:hint="eastAsia"/>
          <w:sz w:val="30"/>
          <w:szCs w:val="30"/>
        </w:rPr>
        <w:t>（三）</w:t>
      </w:r>
      <w:r w:rsidR="001A6D77" w:rsidRPr="0053713D">
        <w:rPr>
          <w:rFonts w:ascii="仿宋_GB2312" w:eastAsia="仿宋_GB2312" w:hAnsi="仿宋_GB2312" w:cs="仿宋_GB2312" w:hint="eastAsia"/>
          <w:sz w:val="30"/>
          <w:szCs w:val="30"/>
        </w:rPr>
        <w:t>销毁场</w:t>
      </w:r>
      <w:r w:rsidR="001C3B7F">
        <w:rPr>
          <w:rFonts w:ascii="仿宋_GB2312" w:eastAsia="仿宋_GB2312" w:hAnsi="仿宋_GB2312" w:cs="仿宋_GB2312" w:hint="eastAsia"/>
          <w:sz w:val="30"/>
          <w:szCs w:val="30"/>
        </w:rPr>
        <w:t>地</w:t>
      </w:r>
      <w:r w:rsidR="001A6D77" w:rsidRPr="0053713D">
        <w:rPr>
          <w:rFonts w:ascii="仿宋_GB2312" w:eastAsia="仿宋_GB2312" w:hAnsi="仿宋_GB2312" w:cs="仿宋_GB2312" w:hint="eastAsia"/>
          <w:sz w:val="30"/>
          <w:szCs w:val="30"/>
        </w:rPr>
        <w:t>内应设掩体，距铺设待销毁物品边缘应小于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0"/>
          <w:attr w:name="UnitName" w:val="米"/>
        </w:smartTagPr>
        <w:r w:rsidR="001A6D77" w:rsidRPr="0053713D">
          <w:rPr>
            <w:rFonts w:ascii="仿宋_GB2312" w:eastAsia="仿宋_GB2312" w:hAnsi="仿宋_GB2312" w:cs="仿宋_GB2312" w:hint="eastAsia"/>
            <w:sz w:val="30"/>
            <w:szCs w:val="30"/>
          </w:rPr>
          <w:t>50</w:t>
        </w:r>
        <w:r w:rsidR="0006773D">
          <w:rPr>
            <w:rFonts w:ascii="仿宋_GB2312" w:eastAsia="仿宋_GB2312" w:hAnsi="仿宋_GB2312" w:cs="仿宋_GB2312" w:hint="eastAsia"/>
            <w:sz w:val="30"/>
            <w:szCs w:val="30"/>
          </w:rPr>
          <w:t>米</w:t>
        </w:r>
      </w:smartTag>
      <w:r w:rsidR="001A6D77" w:rsidRPr="0053713D">
        <w:rPr>
          <w:rFonts w:ascii="仿宋_GB2312" w:eastAsia="仿宋_GB2312" w:hAnsi="仿宋_GB2312" w:cs="仿宋_GB2312" w:hint="eastAsia"/>
          <w:sz w:val="30"/>
          <w:szCs w:val="30"/>
        </w:rPr>
        <w:t>。</w:t>
      </w:r>
    </w:p>
    <w:p w:rsidR="00836967" w:rsidRDefault="003A6D4B" w:rsidP="0053713D">
      <w:pPr>
        <w:topLinePunct/>
        <w:adjustRightInd w:val="0"/>
        <w:snapToGrid w:val="0"/>
        <w:spacing w:line="600" w:lineRule="exact"/>
        <w:ind w:firstLineChars="200" w:firstLine="600"/>
        <w:rPr>
          <w:rFonts w:ascii="仿宋_GB2312" w:eastAsia="仿宋_GB2312" w:hAnsi="仿宋_GB2312" w:cs="仿宋_GB2312" w:hint="eastAsia"/>
          <w:sz w:val="30"/>
          <w:szCs w:val="30"/>
        </w:rPr>
      </w:pPr>
      <w:r>
        <w:rPr>
          <w:rFonts w:ascii="仿宋_GB2312" w:eastAsia="仿宋_GB2312" w:hAnsi="仿宋_GB2312" w:cs="仿宋_GB2312" w:hint="eastAsia"/>
          <w:sz w:val="30"/>
          <w:szCs w:val="30"/>
        </w:rPr>
        <w:t>（四）</w:t>
      </w:r>
      <w:r w:rsidR="00836967">
        <w:rPr>
          <w:rFonts w:ascii="仿宋_GB2312" w:eastAsia="仿宋_GB2312" w:hAnsi="仿宋_GB2312" w:cs="仿宋_GB2312" w:hint="eastAsia"/>
          <w:sz w:val="30"/>
          <w:szCs w:val="30"/>
        </w:rPr>
        <w:t>高温、雷雨</w:t>
      </w:r>
      <w:r w:rsidR="00664774">
        <w:rPr>
          <w:rFonts w:ascii="仿宋_GB2312" w:eastAsia="仿宋_GB2312" w:hAnsi="仿宋_GB2312" w:cs="仿宋_GB2312" w:hint="eastAsia"/>
          <w:sz w:val="30"/>
          <w:szCs w:val="30"/>
        </w:rPr>
        <w:t>、大风</w:t>
      </w:r>
      <w:r w:rsidR="00836967">
        <w:rPr>
          <w:rFonts w:ascii="仿宋_GB2312" w:eastAsia="仿宋_GB2312" w:hAnsi="仿宋_GB2312" w:cs="仿宋_GB2312" w:hint="eastAsia"/>
          <w:sz w:val="30"/>
          <w:szCs w:val="30"/>
        </w:rPr>
        <w:t>天气不得从事销毁作业。</w:t>
      </w:r>
    </w:p>
    <w:p w:rsidR="00BF014A" w:rsidRPr="0053713D" w:rsidRDefault="00BF014A" w:rsidP="00BF014A">
      <w:pPr>
        <w:topLinePunct/>
        <w:adjustRightInd w:val="0"/>
        <w:snapToGrid w:val="0"/>
        <w:spacing w:line="600" w:lineRule="exact"/>
        <w:ind w:firstLineChars="200" w:firstLine="600"/>
        <w:rPr>
          <w:rFonts w:ascii="仿宋_GB2312" w:eastAsia="仿宋_GB2312" w:hAnsi="仿宋_GB2312" w:cs="仿宋_GB2312" w:hint="eastAsia"/>
          <w:sz w:val="30"/>
          <w:szCs w:val="30"/>
        </w:rPr>
      </w:pPr>
      <w:r>
        <w:rPr>
          <w:rFonts w:ascii="仿宋_GB2312" w:eastAsia="仿宋_GB2312" w:hAnsi="仿宋_GB2312" w:cs="仿宋_GB2312" w:hint="eastAsia"/>
          <w:sz w:val="30"/>
          <w:szCs w:val="30"/>
        </w:rPr>
        <w:t>（五）销毁场所</w:t>
      </w:r>
      <w:r w:rsidRPr="0053713D">
        <w:rPr>
          <w:rFonts w:ascii="仿宋_GB2312" w:eastAsia="仿宋_GB2312" w:hAnsi="仿宋_GB2312" w:cs="仿宋_GB2312" w:hint="eastAsia"/>
          <w:sz w:val="30"/>
          <w:szCs w:val="30"/>
        </w:rPr>
        <w:t>应有专人负责警戒，防止无关人员</w:t>
      </w:r>
      <w:r w:rsidR="005B55F6" w:rsidRPr="0053713D">
        <w:rPr>
          <w:rFonts w:ascii="仿宋_GB2312" w:eastAsia="仿宋_GB2312" w:hAnsi="仿宋_GB2312" w:cs="仿宋_GB2312" w:hint="eastAsia"/>
          <w:sz w:val="30"/>
          <w:szCs w:val="30"/>
        </w:rPr>
        <w:t>进入</w:t>
      </w:r>
      <w:r w:rsidR="005B55F6">
        <w:rPr>
          <w:rFonts w:ascii="仿宋_GB2312" w:eastAsia="仿宋_GB2312" w:hAnsi="仿宋_GB2312" w:cs="仿宋_GB2312" w:hint="eastAsia"/>
          <w:sz w:val="30"/>
          <w:szCs w:val="30"/>
        </w:rPr>
        <w:t>或靠近</w:t>
      </w:r>
      <w:r w:rsidRPr="0053713D">
        <w:rPr>
          <w:rFonts w:ascii="仿宋_GB2312" w:eastAsia="仿宋_GB2312" w:hAnsi="仿宋_GB2312" w:cs="仿宋_GB2312" w:hint="eastAsia"/>
          <w:sz w:val="30"/>
          <w:szCs w:val="30"/>
        </w:rPr>
        <w:t>。</w:t>
      </w:r>
    </w:p>
    <w:p w:rsidR="005C071A" w:rsidRPr="0053713D" w:rsidRDefault="00A936D5" w:rsidP="00D65AD5">
      <w:pPr>
        <w:topLinePunct/>
        <w:adjustRightInd w:val="0"/>
        <w:snapToGrid w:val="0"/>
        <w:spacing w:line="600" w:lineRule="exact"/>
        <w:ind w:firstLineChars="200" w:firstLine="602"/>
        <w:rPr>
          <w:rFonts w:ascii="黑体" w:eastAsia="黑体" w:hAnsi="仿宋_GB2312" w:cs="仿宋_GB2312" w:hint="eastAsia"/>
          <w:sz w:val="30"/>
          <w:szCs w:val="30"/>
        </w:rPr>
      </w:pPr>
      <w:r>
        <w:rPr>
          <w:rFonts w:ascii="黑体" w:eastAsia="黑体" w:hAnsi="仿宋_GB2312" w:cs="仿宋_GB2312" w:hint="eastAsia"/>
          <w:b/>
          <w:sz w:val="30"/>
          <w:szCs w:val="30"/>
        </w:rPr>
        <w:t>四</w:t>
      </w:r>
      <w:r w:rsidR="001A6D77" w:rsidRPr="0053713D">
        <w:rPr>
          <w:rFonts w:ascii="黑体" w:eastAsia="黑体" w:hAnsi="仿宋_GB2312" w:cs="仿宋_GB2312" w:hint="eastAsia"/>
          <w:b/>
          <w:sz w:val="30"/>
          <w:szCs w:val="30"/>
        </w:rPr>
        <w:t>、</w:t>
      </w:r>
      <w:r w:rsidR="005C071A" w:rsidRPr="0053713D">
        <w:rPr>
          <w:rFonts w:ascii="黑体" w:eastAsia="黑体" w:hAnsi="仿宋_GB2312" w:cs="仿宋_GB2312" w:hint="eastAsia"/>
          <w:sz w:val="30"/>
          <w:szCs w:val="30"/>
        </w:rPr>
        <w:t>作业人员要求</w:t>
      </w:r>
    </w:p>
    <w:p w:rsidR="005C071A" w:rsidRDefault="003A6D4B" w:rsidP="005C071A">
      <w:pPr>
        <w:topLinePunct/>
        <w:adjustRightInd w:val="0"/>
        <w:snapToGrid w:val="0"/>
        <w:spacing w:line="600" w:lineRule="exact"/>
        <w:ind w:firstLineChars="200" w:firstLine="600"/>
        <w:rPr>
          <w:rFonts w:ascii="仿宋_GB2312" w:eastAsia="仿宋_GB2312" w:hAnsi="仿宋_GB2312" w:cs="仿宋_GB2312" w:hint="eastAsia"/>
          <w:sz w:val="30"/>
          <w:szCs w:val="30"/>
        </w:rPr>
      </w:pPr>
      <w:r>
        <w:rPr>
          <w:rFonts w:ascii="仿宋_GB2312" w:eastAsia="仿宋_GB2312" w:hAnsi="仿宋_GB2312" w:cs="仿宋_GB2312" w:hint="eastAsia"/>
          <w:sz w:val="30"/>
          <w:szCs w:val="30"/>
        </w:rPr>
        <w:t>（一）</w:t>
      </w:r>
      <w:r w:rsidR="00857179">
        <w:rPr>
          <w:rFonts w:ascii="仿宋_GB2312" w:eastAsia="仿宋_GB2312" w:hAnsi="仿宋_GB2312" w:cs="仿宋_GB2312" w:hint="eastAsia"/>
          <w:sz w:val="30"/>
          <w:szCs w:val="30"/>
        </w:rPr>
        <w:t>销毁</w:t>
      </w:r>
      <w:r w:rsidR="00BA3EAE">
        <w:rPr>
          <w:rFonts w:ascii="仿宋_GB2312" w:eastAsia="仿宋_GB2312" w:hAnsi="仿宋_GB2312" w:cs="仿宋_GB2312" w:hint="eastAsia"/>
          <w:sz w:val="30"/>
          <w:szCs w:val="30"/>
        </w:rPr>
        <w:t>作业</w:t>
      </w:r>
      <w:r w:rsidR="005C071A" w:rsidRPr="0053713D">
        <w:rPr>
          <w:rFonts w:ascii="仿宋_GB2312" w:eastAsia="仿宋_GB2312" w:hAnsi="仿宋_GB2312" w:cs="仿宋_GB2312" w:hint="eastAsia"/>
          <w:sz w:val="30"/>
          <w:szCs w:val="30"/>
        </w:rPr>
        <w:t>的人员年龄应满20岁，不超过50岁，身体健康，</w:t>
      </w:r>
      <w:r w:rsidR="00857179">
        <w:rPr>
          <w:rFonts w:ascii="仿宋_GB2312" w:eastAsia="仿宋_GB2312" w:hAnsi="仿宋_GB2312" w:cs="仿宋_GB2312" w:hint="eastAsia"/>
          <w:sz w:val="30"/>
          <w:szCs w:val="30"/>
        </w:rPr>
        <w:t>且</w:t>
      </w:r>
      <w:r w:rsidR="005C071A" w:rsidRPr="0053713D">
        <w:rPr>
          <w:rFonts w:ascii="仿宋_GB2312" w:eastAsia="仿宋_GB2312" w:hAnsi="仿宋_GB2312" w:cs="仿宋_GB2312" w:hint="eastAsia"/>
          <w:sz w:val="30"/>
          <w:szCs w:val="30"/>
        </w:rPr>
        <w:t>具有销毁作业安全知识和实践经验。焚烧法</w:t>
      </w:r>
      <w:r w:rsidR="00FD6DAB">
        <w:rPr>
          <w:rFonts w:ascii="仿宋_GB2312" w:eastAsia="仿宋_GB2312" w:hAnsi="仿宋_GB2312" w:cs="仿宋_GB2312" w:hint="eastAsia"/>
          <w:sz w:val="30"/>
          <w:szCs w:val="30"/>
        </w:rPr>
        <w:t>的</w:t>
      </w:r>
      <w:r w:rsidR="00FD6DAB" w:rsidRPr="0053713D">
        <w:rPr>
          <w:rFonts w:ascii="仿宋_GB2312" w:eastAsia="仿宋_GB2312" w:hAnsi="仿宋_GB2312" w:cs="仿宋_GB2312" w:hint="eastAsia"/>
          <w:sz w:val="30"/>
          <w:szCs w:val="30"/>
        </w:rPr>
        <w:t>销毁作业人员</w:t>
      </w:r>
      <w:r w:rsidR="00857179">
        <w:rPr>
          <w:rFonts w:ascii="仿宋_GB2312" w:eastAsia="仿宋_GB2312" w:hAnsi="仿宋_GB2312" w:cs="仿宋_GB2312" w:hint="eastAsia"/>
          <w:sz w:val="30"/>
          <w:szCs w:val="30"/>
        </w:rPr>
        <w:t>，应</w:t>
      </w:r>
      <w:r w:rsidR="005C071A" w:rsidRPr="0053713D">
        <w:rPr>
          <w:rFonts w:ascii="仿宋_GB2312" w:eastAsia="仿宋_GB2312" w:hAnsi="仿宋_GB2312" w:cs="仿宋_GB2312" w:hint="eastAsia"/>
          <w:sz w:val="30"/>
          <w:szCs w:val="30"/>
        </w:rPr>
        <w:t>持有烟花爆竹特种作业资格证</w:t>
      </w:r>
      <w:r w:rsidR="00FD6DAB">
        <w:rPr>
          <w:rFonts w:ascii="仿宋_GB2312" w:eastAsia="仿宋_GB2312" w:hAnsi="仿宋_GB2312" w:cs="仿宋_GB2312" w:hint="eastAsia"/>
          <w:sz w:val="30"/>
          <w:szCs w:val="30"/>
        </w:rPr>
        <w:t>，</w:t>
      </w:r>
      <w:r w:rsidR="005C071A" w:rsidRPr="0053713D">
        <w:rPr>
          <w:rFonts w:ascii="仿宋_GB2312" w:eastAsia="仿宋_GB2312" w:hAnsi="仿宋_GB2312" w:cs="仿宋_GB2312" w:hint="eastAsia"/>
          <w:sz w:val="30"/>
          <w:szCs w:val="30"/>
        </w:rPr>
        <w:t>且</w:t>
      </w:r>
      <w:r w:rsidR="00FD6DAB">
        <w:rPr>
          <w:rFonts w:ascii="仿宋_GB2312" w:eastAsia="仿宋_GB2312" w:hAnsi="仿宋_GB2312" w:cs="仿宋_GB2312" w:hint="eastAsia"/>
          <w:sz w:val="30"/>
          <w:szCs w:val="30"/>
        </w:rPr>
        <w:t>有2</w:t>
      </w:r>
      <w:r w:rsidR="005C071A" w:rsidRPr="0053713D">
        <w:rPr>
          <w:rFonts w:ascii="仿宋_GB2312" w:eastAsia="仿宋_GB2312" w:hAnsi="仿宋_GB2312" w:cs="仿宋_GB2312" w:hint="eastAsia"/>
          <w:sz w:val="30"/>
          <w:szCs w:val="30"/>
        </w:rPr>
        <w:t>年以上</w:t>
      </w:r>
      <w:r w:rsidR="00FD6DAB" w:rsidRPr="0053713D">
        <w:rPr>
          <w:rFonts w:ascii="仿宋_GB2312" w:eastAsia="仿宋_GB2312" w:hAnsi="仿宋_GB2312" w:cs="仿宋_GB2312" w:hint="eastAsia"/>
          <w:sz w:val="30"/>
          <w:szCs w:val="30"/>
        </w:rPr>
        <w:t>烟花爆竹</w:t>
      </w:r>
      <w:r w:rsidR="005C071A" w:rsidRPr="0053713D">
        <w:rPr>
          <w:rFonts w:ascii="仿宋_GB2312" w:eastAsia="仿宋_GB2312" w:hAnsi="仿宋_GB2312" w:cs="仿宋_GB2312" w:hint="eastAsia"/>
          <w:sz w:val="30"/>
          <w:szCs w:val="30"/>
        </w:rPr>
        <w:t>涉药生产</w:t>
      </w:r>
      <w:r w:rsidR="00FD6DAB">
        <w:rPr>
          <w:rFonts w:ascii="仿宋_GB2312" w:eastAsia="仿宋_GB2312" w:hAnsi="仿宋_GB2312" w:cs="仿宋_GB2312" w:hint="eastAsia"/>
          <w:sz w:val="30"/>
          <w:szCs w:val="30"/>
        </w:rPr>
        <w:t>作业经验</w:t>
      </w:r>
      <w:r w:rsidR="005C071A" w:rsidRPr="0053713D">
        <w:rPr>
          <w:rFonts w:ascii="仿宋_GB2312" w:eastAsia="仿宋_GB2312" w:hAnsi="仿宋_GB2312" w:cs="仿宋_GB2312" w:hint="eastAsia"/>
          <w:sz w:val="30"/>
          <w:szCs w:val="30"/>
        </w:rPr>
        <w:t>；燃放法</w:t>
      </w:r>
      <w:r w:rsidR="00FD6DAB">
        <w:rPr>
          <w:rFonts w:ascii="仿宋_GB2312" w:eastAsia="仿宋_GB2312" w:hAnsi="仿宋_GB2312" w:cs="仿宋_GB2312" w:hint="eastAsia"/>
          <w:sz w:val="30"/>
          <w:szCs w:val="30"/>
        </w:rPr>
        <w:t>的</w:t>
      </w:r>
      <w:r w:rsidR="005C071A" w:rsidRPr="0053713D">
        <w:rPr>
          <w:rFonts w:ascii="仿宋_GB2312" w:eastAsia="仿宋_GB2312" w:hAnsi="仿宋_GB2312" w:cs="仿宋_GB2312" w:hint="eastAsia"/>
          <w:sz w:val="30"/>
          <w:szCs w:val="30"/>
        </w:rPr>
        <w:t>销毁作业人员</w:t>
      </w:r>
      <w:r w:rsidR="00FD6DAB">
        <w:rPr>
          <w:rFonts w:ascii="仿宋_GB2312" w:eastAsia="仿宋_GB2312" w:hAnsi="仿宋_GB2312" w:cs="仿宋_GB2312" w:hint="eastAsia"/>
          <w:sz w:val="30"/>
          <w:szCs w:val="30"/>
        </w:rPr>
        <w:t>，</w:t>
      </w:r>
      <w:r w:rsidR="005C071A" w:rsidRPr="0053713D">
        <w:rPr>
          <w:rFonts w:ascii="仿宋_GB2312" w:eastAsia="仿宋_GB2312" w:hAnsi="仿宋_GB2312" w:cs="仿宋_GB2312" w:hint="eastAsia"/>
          <w:sz w:val="30"/>
          <w:szCs w:val="30"/>
        </w:rPr>
        <w:t>应持有大型焰火燃放作业人员资格证，且</w:t>
      </w:r>
      <w:r w:rsidR="00FD6DAB">
        <w:rPr>
          <w:rFonts w:ascii="仿宋_GB2312" w:eastAsia="仿宋_GB2312" w:hAnsi="仿宋_GB2312" w:cs="仿宋_GB2312" w:hint="eastAsia"/>
          <w:sz w:val="30"/>
          <w:szCs w:val="30"/>
        </w:rPr>
        <w:t>有</w:t>
      </w:r>
      <w:r w:rsidR="00857179">
        <w:rPr>
          <w:rFonts w:ascii="仿宋_GB2312" w:eastAsia="仿宋_GB2312" w:hAnsi="仿宋_GB2312" w:cs="仿宋_GB2312" w:hint="eastAsia"/>
          <w:sz w:val="30"/>
          <w:szCs w:val="30"/>
        </w:rPr>
        <w:t>3</w:t>
      </w:r>
      <w:r w:rsidR="005C071A" w:rsidRPr="0053713D">
        <w:rPr>
          <w:rFonts w:ascii="仿宋_GB2312" w:eastAsia="仿宋_GB2312" w:hAnsi="仿宋_GB2312" w:cs="仿宋_GB2312" w:hint="eastAsia"/>
          <w:sz w:val="30"/>
          <w:szCs w:val="30"/>
        </w:rPr>
        <w:t>次以上大型焰火燃放作业</w:t>
      </w:r>
      <w:r w:rsidR="00FD6DAB">
        <w:rPr>
          <w:rFonts w:ascii="仿宋_GB2312" w:eastAsia="仿宋_GB2312" w:hAnsi="仿宋_GB2312" w:cs="仿宋_GB2312" w:hint="eastAsia"/>
          <w:sz w:val="30"/>
          <w:szCs w:val="30"/>
        </w:rPr>
        <w:t>经验</w:t>
      </w:r>
      <w:r w:rsidR="005C071A" w:rsidRPr="0053713D">
        <w:rPr>
          <w:rFonts w:ascii="仿宋_GB2312" w:eastAsia="仿宋_GB2312" w:hAnsi="仿宋_GB2312" w:cs="仿宋_GB2312" w:hint="eastAsia"/>
          <w:sz w:val="30"/>
          <w:szCs w:val="30"/>
        </w:rPr>
        <w:t>。</w:t>
      </w:r>
    </w:p>
    <w:p w:rsidR="00CF6768" w:rsidRPr="0053713D" w:rsidRDefault="003A6D4B" w:rsidP="005C071A">
      <w:pPr>
        <w:topLinePunct/>
        <w:adjustRightInd w:val="0"/>
        <w:snapToGrid w:val="0"/>
        <w:spacing w:line="600" w:lineRule="exact"/>
        <w:ind w:firstLineChars="200" w:firstLine="600"/>
        <w:rPr>
          <w:rFonts w:ascii="仿宋_GB2312" w:eastAsia="仿宋_GB2312" w:hAnsi="仿宋_GB2312" w:cs="仿宋_GB2312" w:hint="eastAsia"/>
          <w:sz w:val="30"/>
          <w:szCs w:val="30"/>
        </w:rPr>
      </w:pPr>
      <w:r>
        <w:rPr>
          <w:rFonts w:ascii="仿宋_GB2312" w:eastAsia="仿宋_GB2312" w:hAnsi="仿宋_GB2312" w:cs="仿宋_GB2312" w:hint="eastAsia"/>
          <w:sz w:val="30"/>
          <w:szCs w:val="30"/>
        </w:rPr>
        <w:t>（二）</w:t>
      </w:r>
      <w:r w:rsidR="001C1B54">
        <w:rPr>
          <w:rFonts w:ascii="仿宋_GB2312" w:eastAsia="仿宋_GB2312" w:hAnsi="仿宋_GB2312" w:cs="仿宋_GB2312" w:hint="eastAsia"/>
          <w:sz w:val="30"/>
          <w:szCs w:val="30"/>
        </w:rPr>
        <w:t>严格控制</w:t>
      </w:r>
      <w:r w:rsidR="00CF6768">
        <w:rPr>
          <w:rFonts w:ascii="仿宋_GB2312" w:eastAsia="仿宋_GB2312" w:hAnsi="仿宋_GB2312" w:cs="仿宋_GB2312" w:hint="eastAsia"/>
          <w:sz w:val="30"/>
          <w:szCs w:val="30"/>
        </w:rPr>
        <w:t>销毁现场</w:t>
      </w:r>
      <w:r w:rsidR="00500335">
        <w:rPr>
          <w:rFonts w:ascii="仿宋_GB2312" w:eastAsia="仿宋_GB2312" w:hAnsi="仿宋_GB2312" w:cs="仿宋_GB2312" w:hint="eastAsia"/>
          <w:sz w:val="30"/>
          <w:szCs w:val="30"/>
        </w:rPr>
        <w:t>安全警戒范围内的</w:t>
      </w:r>
      <w:r w:rsidR="00CF6768">
        <w:rPr>
          <w:rFonts w:ascii="仿宋_GB2312" w:eastAsia="仿宋_GB2312" w:hAnsi="仿宋_GB2312" w:cs="仿宋_GB2312" w:hint="eastAsia"/>
          <w:sz w:val="30"/>
          <w:szCs w:val="30"/>
        </w:rPr>
        <w:t>人员数量</w:t>
      </w:r>
      <w:r w:rsidR="00B1585B">
        <w:rPr>
          <w:rFonts w:ascii="仿宋_GB2312" w:eastAsia="仿宋_GB2312" w:hAnsi="仿宋_GB2312" w:cs="仿宋_GB2312" w:hint="eastAsia"/>
          <w:sz w:val="30"/>
          <w:szCs w:val="30"/>
        </w:rPr>
        <w:t>。</w:t>
      </w:r>
      <w:r w:rsidR="001C3B7F">
        <w:rPr>
          <w:rFonts w:ascii="仿宋_GB2312" w:eastAsia="仿宋_GB2312" w:hAnsi="仿宋_GB2312" w:cs="仿宋_GB2312" w:hint="eastAsia"/>
          <w:sz w:val="30"/>
          <w:szCs w:val="30"/>
        </w:rPr>
        <w:t>销毁黑火药、烟火药</w:t>
      </w:r>
      <w:r w:rsidR="00EC44DC">
        <w:rPr>
          <w:rFonts w:ascii="仿宋_GB2312" w:eastAsia="仿宋_GB2312" w:hAnsi="仿宋_GB2312" w:cs="仿宋_GB2312" w:hint="eastAsia"/>
          <w:sz w:val="30"/>
          <w:szCs w:val="30"/>
        </w:rPr>
        <w:t>等</w:t>
      </w:r>
      <w:r w:rsidR="00EC44DC" w:rsidRPr="0053713D">
        <w:rPr>
          <w:rFonts w:ascii="仿宋_GB2312" w:eastAsia="仿宋_GB2312" w:hAnsi="仿宋_GB2312" w:cs="仿宋_GB2312" w:hint="eastAsia"/>
          <w:sz w:val="30"/>
          <w:szCs w:val="30"/>
        </w:rPr>
        <w:t>Ⅰ类烟花爆竹</w:t>
      </w:r>
      <w:r w:rsidR="001C3B7F">
        <w:rPr>
          <w:rFonts w:ascii="仿宋_GB2312" w:eastAsia="仿宋_GB2312" w:hAnsi="仿宋_GB2312" w:cs="仿宋_GB2312" w:hint="eastAsia"/>
          <w:sz w:val="30"/>
          <w:szCs w:val="30"/>
        </w:rPr>
        <w:t>时</w:t>
      </w:r>
      <w:r w:rsidR="00B1585B">
        <w:rPr>
          <w:rFonts w:ascii="仿宋_GB2312" w:eastAsia="仿宋_GB2312" w:hAnsi="仿宋_GB2312" w:cs="仿宋_GB2312" w:hint="eastAsia"/>
          <w:sz w:val="30"/>
          <w:szCs w:val="30"/>
        </w:rPr>
        <w:t>，安全警戒范围内</w:t>
      </w:r>
      <w:r w:rsidR="001C3B7F">
        <w:rPr>
          <w:rFonts w:ascii="仿宋_GB2312" w:eastAsia="仿宋_GB2312" w:hAnsi="仿宋_GB2312" w:cs="仿宋_GB2312" w:hint="eastAsia"/>
          <w:sz w:val="30"/>
          <w:szCs w:val="30"/>
        </w:rPr>
        <w:t>不得超过3人</w:t>
      </w:r>
      <w:r w:rsidR="00B1585B">
        <w:rPr>
          <w:rFonts w:ascii="仿宋_GB2312" w:eastAsia="仿宋_GB2312" w:hAnsi="仿宋_GB2312" w:cs="仿宋_GB2312" w:hint="eastAsia"/>
          <w:sz w:val="30"/>
          <w:szCs w:val="30"/>
        </w:rPr>
        <w:t>；</w:t>
      </w:r>
      <w:r w:rsidR="001C3B7F">
        <w:rPr>
          <w:rFonts w:ascii="仿宋_GB2312" w:eastAsia="仿宋_GB2312" w:hAnsi="仿宋_GB2312" w:cs="仿宋_GB2312" w:hint="eastAsia"/>
          <w:sz w:val="30"/>
          <w:szCs w:val="30"/>
        </w:rPr>
        <w:t>销毁</w:t>
      </w:r>
      <w:r w:rsidR="00EC44DC" w:rsidRPr="0053713D">
        <w:rPr>
          <w:rFonts w:ascii="仿宋_GB2312" w:eastAsia="仿宋_GB2312" w:hAnsi="仿宋_GB2312" w:cs="仿宋_GB2312" w:hint="eastAsia"/>
          <w:sz w:val="30"/>
          <w:szCs w:val="30"/>
        </w:rPr>
        <w:t>Ⅱ类</w:t>
      </w:r>
      <w:r w:rsidR="001C3B7F">
        <w:rPr>
          <w:rFonts w:ascii="仿宋_GB2312" w:eastAsia="仿宋_GB2312" w:hAnsi="仿宋_GB2312" w:cs="仿宋_GB2312" w:hint="eastAsia"/>
          <w:sz w:val="30"/>
          <w:szCs w:val="30"/>
        </w:rPr>
        <w:t>烟花爆竹时</w:t>
      </w:r>
      <w:r w:rsidR="00B1585B">
        <w:rPr>
          <w:rFonts w:ascii="仿宋_GB2312" w:eastAsia="仿宋_GB2312" w:hAnsi="仿宋_GB2312" w:cs="仿宋_GB2312" w:hint="eastAsia"/>
          <w:sz w:val="30"/>
          <w:szCs w:val="30"/>
        </w:rPr>
        <w:t>，安全警戒范围内</w:t>
      </w:r>
      <w:r w:rsidR="00CF6768">
        <w:rPr>
          <w:rFonts w:ascii="仿宋_GB2312" w:eastAsia="仿宋_GB2312" w:hAnsi="仿宋_GB2312" w:cs="仿宋_GB2312" w:hint="eastAsia"/>
          <w:sz w:val="30"/>
          <w:szCs w:val="30"/>
        </w:rPr>
        <w:t>不得超过</w:t>
      </w:r>
      <w:r w:rsidR="001C3B7F">
        <w:rPr>
          <w:rFonts w:ascii="仿宋_GB2312" w:eastAsia="仿宋_GB2312" w:hAnsi="仿宋_GB2312" w:cs="仿宋_GB2312" w:hint="eastAsia"/>
          <w:sz w:val="30"/>
          <w:szCs w:val="30"/>
        </w:rPr>
        <w:t>6</w:t>
      </w:r>
      <w:r w:rsidR="00CF6768">
        <w:rPr>
          <w:rFonts w:ascii="仿宋_GB2312" w:eastAsia="仿宋_GB2312" w:hAnsi="仿宋_GB2312" w:cs="仿宋_GB2312" w:hint="eastAsia"/>
          <w:sz w:val="30"/>
          <w:szCs w:val="30"/>
        </w:rPr>
        <w:t>人。</w:t>
      </w:r>
    </w:p>
    <w:sectPr w:rsidR="00CF6768" w:rsidRPr="0053713D" w:rsidSect="0053713D">
      <w:pgSz w:w="11906" w:h="16838" w:code="9"/>
      <w:pgMar w:top="1701" w:right="1418" w:bottom="1304" w:left="1474" w:header="1021" w:footer="907" w:gutter="0"/>
      <w:cols w:space="720"/>
      <w:docGrid w:linePitch="31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4799" w:rsidRDefault="00DC4799">
      <w:r>
        <w:separator/>
      </w:r>
    </w:p>
  </w:endnote>
  <w:endnote w:type="continuationSeparator" w:id="0">
    <w:p w:rsidR="00DC4799" w:rsidRDefault="00DC47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4799" w:rsidRDefault="00DC4799">
      <w:r>
        <w:separator/>
      </w:r>
    </w:p>
  </w:footnote>
  <w:footnote w:type="continuationSeparator" w:id="0">
    <w:p w:rsidR="00DC4799" w:rsidRDefault="00DC47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05CC14"/>
    <w:multiLevelType w:val="singleLevel"/>
    <w:tmpl w:val="5705CC14"/>
    <w:lvl w:ilvl="0">
      <w:start w:val="4"/>
      <w:numFmt w:val="chineseCounting"/>
      <w:suff w:val="nothing"/>
      <w:lvlText w:val="%1、"/>
      <w:lvlJc w:val="left"/>
    </w:lvl>
  </w:abstractNum>
  <w:abstractNum w:abstractNumId="1" w15:restartNumberingAfterBreak="0">
    <w:nsid w:val="5705D90A"/>
    <w:multiLevelType w:val="singleLevel"/>
    <w:tmpl w:val="5705D90A"/>
    <w:lvl w:ilvl="0">
      <w:start w:val="2"/>
      <w:numFmt w:val="decimal"/>
      <w:suff w:val="nothing"/>
      <w:lvlText w:val="%1、"/>
      <w:lvlJc w:val="left"/>
    </w:lvl>
  </w:abstractNum>
  <w:abstractNum w:abstractNumId="2" w15:restartNumberingAfterBreak="0">
    <w:nsid w:val="57070493"/>
    <w:multiLevelType w:val="singleLevel"/>
    <w:tmpl w:val="57070493"/>
    <w:lvl w:ilvl="0">
      <w:start w:val="3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7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59"/>
  <w:displayHorizontalDrawingGridEvery w:val="2"/>
  <w:displayVerticalDrawingGridEvery w:val="2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74A05"/>
    <w:rsid w:val="00017FAB"/>
    <w:rsid w:val="000320FA"/>
    <w:rsid w:val="0006773D"/>
    <w:rsid w:val="000B4B65"/>
    <w:rsid w:val="000C36C3"/>
    <w:rsid w:val="000D72C5"/>
    <w:rsid w:val="000F3C88"/>
    <w:rsid w:val="000F5DAB"/>
    <w:rsid w:val="001274D8"/>
    <w:rsid w:val="0016590F"/>
    <w:rsid w:val="00172FF6"/>
    <w:rsid w:val="001A6D77"/>
    <w:rsid w:val="001B6421"/>
    <w:rsid w:val="001C1B54"/>
    <w:rsid w:val="001C3B7F"/>
    <w:rsid w:val="002170F8"/>
    <w:rsid w:val="00270A35"/>
    <w:rsid w:val="00290540"/>
    <w:rsid w:val="00291063"/>
    <w:rsid w:val="002B3EE9"/>
    <w:rsid w:val="002F5EEE"/>
    <w:rsid w:val="00335548"/>
    <w:rsid w:val="00347CB9"/>
    <w:rsid w:val="00353A7C"/>
    <w:rsid w:val="00393E41"/>
    <w:rsid w:val="003945BD"/>
    <w:rsid w:val="003A6D4B"/>
    <w:rsid w:val="003B21F0"/>
    <w:rsid w:val="003C1107"/>
    <w:rsid w:val="004050A4"/>
    <w:rsid w:val="00411B2F"/>
    <w:rsid w:val="004A1798"/>
    <w:rsid w:val="004D42FF"/>
    <w:rsid w:val="00500335"/>
    <w:rsid w:val="00514DB4"/>
    <w:rsid w:val="0053713D"/>
    <w:rsid w:val="00554B7B"/>
    <w:rsid w:val="00586B6A"/>
    <w:rsid w:val="005A2C3D"/>
    <w:rsid w:val="005A3034"/>
    <w:rsid w:val="005B41AF"/>
    <w:rsid w:val="005B55F6"/>
    <w:rsid w:val="005C071A"/>
    <w:rsid w:val="005F4D18"/>
    <w:rsid w:val="00652347"/>
    <w:rsid w:val="00664774"/>
    <w:rsid w:val="006A1B58"/>
    <w:rsid w:val="006E2E58"/>
    <w:rsid w:val="006F3C2A"/>
    <w:rsid w:val="006F5B15"/>
    <w:rsid w:val="006F5E99"/>
    <w:rsid w:val="007022AF"/>
    <w:rsid w:val="007143FA"/>
    <w:rsid w:val="00780908"/>
    <w:rsid w:val="00786173"/>
    <w:rsid w:val="00795C74"/>
    <w:rsid w:val="007B7059"/>
    <w:rsid w:val="007C5388"/>
    <w:rsid w:val="0080472A"/>
    <w:rsid w:val="00812416"/>
    <w:rsid w:val="008251FE"/>
    <w:rsid w:val="00836967"/>
    <w:rsid w:val="00852D91"/>
    <w:rsid w:val="00857179"/>
    <w:rsid w:val="00862A2E"/>
    <w:rsid w:val="008633E1"/>
    <w:rsid w:val="008674B5"/>
    <w:rsid w:val="00883C85"/>
    <w:rsid w:val="008A236E"/>
    <w:rsid w:val="008D0C67"/>
    <w:rsid w:val="008D777D"/>
    <w:rsid w:val="00903541"/>
    <w:rsid w:val="00924A34"/>
    <w:rsid w:val="0094173F"/>
    <w:rsid w:val="00961FDF"/>
    <w:rsid w:val="00985F64"/>
    <w:rsid w:val="009A56C4"/>
    <w:rsid w:val="009A56E0"/>
    <w:rsid w:val="009B22DB"/>
    <w:rsid w:val="009D62B8"/>
    <w:rsid w:val="00A1072B"/>
    <w:rsid w:val="00A11CBD"/>
    <w:rsid w:val="00A36F04"/>
    <w:rsid w:val="00A936D5"/>
    <w:rsid w:val="00AA3D23"/>
    <w:rsid w:val="00AA692A"/>
    <w:rsid w:val="00AC128F"/>
    <w:rsid w:val="00B00DF9"/>
    <w:rsid w:val="00B1585B"/>
    <w:rsid w:val="00B26B04"/>
    <w:rsid w:val="00B43D4A"/>
    <w:rsid w:val="00B72D39"/>
    <w:rsid w:val="00BA15C4"/>
    <w:rsid w:val="00BA3EAE"/>
    <w:rsid w:val="00BC7A83"/>
    <w:rsid w:val="00BF014A"/>
    <w:rsid w:val="00BF4554"/>
    <w:rsid w:val="00C00D55"/>
    <w:rsid w:val="00C250EA"/>
    <w:rsid w:val="00C73DF2"/>
    <w:rsid w:val="00CD65EB"/>
    <w:rsid w:val="00CE74F9"/>
    <w:rsid w:val="00CF6768"/>
    <w:rsid w:val="00D17116"/>
    <w:rsid w:val="00D22123"/>
    <w:rsid w:val="00D40455"/>
    <w:rsid w:val="00D65AD5"/>
    <w:rsid w:val="00D66C47"/>
    <w:rsid w:val="00D91B3A"/>
    <w:rsid w:val="00D95846"/>
    <w:rsid w:val="00DC4799"/>
    <w:rsid w:val="00DE7863"/>
    <w:rsid w:val="00E41822"/>
    <w:rsid w:val="00E43F03"/>
    <w:rsid w:val="00E53617"/>
    <w:rsid w:val="00E74A05"/>
    <w:rsid w:val="00E75670"/>
    <w:rsid w:val="00EB1E75"/>
    <w:rsid w:val="00EB784F"/>
    <w:rsid w:val="00EC44DC"/>
    <w:rsid w:val="00EC7EED"/>
    <w:rsid w:val="00EF3868"/>
    <w:rsid w:val="00F13F1B"/>
    <w:rsid w:val="00F21EBA"/>
    <w:rsid w:val="00F25352"/>
    <w:rsid w:val="00F53F7B"/>
    <w:rsid w:val="00F77E37"/>
    <w:rsid w:val="00FB40B4"/>
    <w:rsid w:val="00FD6DAB"/>
    <w:rsid w:val="012104EA"/>
    <w:rsid w:val="07301C52"/>
    <w:rsid w:val="0D1557FA"/>
    <w:rsid w:val="0E076F81"/>
    <w:rsid w:val="10BA0C81"/>
    <w:rsid w:val="112934B3"/>
    <w:rsid w:val="11B4471C"/>
    <w:rsid w:val="12980212"/>
    <w:rsid w:val="12B81851"/>
    <w:rsid w:val="135B5D51"/>
    <w:rsid w:val="17D0041E"/>
    <w:rsid w:val="189317E1"/>
    <w:rsid w:val="1F982E63"/>
    <w:rsid w:val="2E73383A"/>
    <w:rsid w:val="2EAB7F1D"/>
    <w:rsid w:val="301B4C7C"/>
    <w:rsid w:val="30DE27BB"/>
    <w:rsid w:val="35FF6626"/>
    <w:rsid w:val="394E0F10"/>
    <w:rsid w:val="3A1122D3"/>
    <w:rsid w:val="3BE132BB"/>
    <w:rsid w:val="3F3E414F"/>
    <w:rsid w:val="421538F8"/>
    <w:rsid w:val="456E0177"/>
    <w:rsid w:val="490943D9"/>
    <w:rsid w:val="4E1D65C1"/>
    <w:rsid w:val="50147B70"/>
    <w:rsid w:val="52B471BF"/>
    <w:rsid w:val="56DC5010"/>
    <w:rsid w:val="630A42C6"/>
    <w:rsid w:val="645657AD"/>
    <w:rsid w:val="6D8B4F45"/>
    <w:rsid w:val="6FB33650"/>
    <w:rsid w:val="73384217"/>
    <w:rsid w:val="77E07331"/>
    <w:rsid w:val="78711EA5"/>
    <w:rsid w:val="793357E6"/>
    <w:rsid w:val="7E3E1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C5D845AC-7B0D-43F0-8F7F-204BEBE8B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2A92CA-6E1A-46B7-896D-354394EED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390</Words>
  <Characters>2228</Characters>
  <Application>Microsoft Office Word</Application>
  <DocSecurity>0</DocSecurity>
  <PresentationFormat/>
  <Lines>18</Lines>
  <Paragraphs>5</Paragraphs>
  <Slides>0</Slides>
  <Notes>0</Notes>
  <HiddenSlides>0</HiddenSlides>
  <MMClips>0</MMClips>
  <ScaleCrop>false</ScaleCrop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HQU</cp:lastModifiedBy>
  <cp:revision>2</cp:revision>
  <cp:lastPrinted>2016-05-18T08:48:00Z</cp:lastPrinted>
  <dcterms:created xsi:type="dcterms:W3CDTF">2024-07-01T13:28:00Z</dcterms:created>
  <dcterms:modified xsi:type="dcterms:W3CDTF">2024-07-01T13:28:00Z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