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9F" w:rsidRPr="00B9524A" w:rsidRDefault="0052059F" w:rsidP="00836ADE">
      <w:pPr>
        <w:adjustRightInd w:val="0"/>
        <w:snapToGrid w:val="0"/>
        <w:spacing w:line="560" w:lineRule="exact"/>
        <w:jc w:val="center"/>
        <w:rPr>
          <w:rFonts w:ascii="方正小标宋简体" w:eastAsia="方正小标宋简体" w:hAnsi="宋体" w:cs="Times New Roman"/>
          <w:sz w:val="44"/>
          <w:szCs w:val="44"/>
        </w:rPr>
      </w:pPr>
      <w:bookmarkStart w:id="0" w:name="_GoBack"/>
      <w:bookmarkEnd w:id="0"/>
      <w:r w:rsidRPr="00B9524A">
        <w:rPr>
          <w:rFonts w:ascii="方正小标宋简体" w:eastAsia="方正小标宋简体" w:hAnsi="宋体" w:cs="方正小标宋简体" w:hint="eastAsia"/>
          <w:sz w:val="44"/>
          <w:szCs w:val="44"/>
        </w:rPr>
        <w:t>隐患排查上报通用标准</w:t>
      </w:r>
    </w:p>
    <w:p w:rsidR="0052059F" w:rsidRPr="00C02A64" w:rsidRDefault="0052059F" w:rsidP="00C02A64">
      <w:pPr>
        <w:adjustRightInd w:val="0"/>
        <w:snapToGrid w:val="0"/>
        <w:spacing w:after="240" w:line="560" w:lineRule="exact"/>
        <w:jc w:val="center"/>
        <w:rPr>
          <w:rFonts w:ascii="楷体_GB2312" w:eastAsia="楷体_GB2312" w:hAnsi="宋体" w:cs="Times New Roman"/>
          <w:sz w:val="32"/>
          <w:szCs w:val="32"/>
        </w:rPr>
      </w:pPr>
      <w:r w:rsidRPr="00C02A64">
        <w:rPr>
          <w:rFonts w:ascii="楷体_GB2312" w:eastAsia="楷体_GB2312" w:hAnsi="宋体" w:cs="楷体_GB2312" w:hint="eastAsia"/>
          <w:sz w:val="32"/>
          <w:szCs w:val="32"/>
        </w:rPr>
        <w:t>（试行）</w:t>
      </w:r>
    </w:p>
    <w:p w:rsidR="0052059F" w:rsidRPr="00C02A64" w:rsidRDefault="0052059F" w:rsidP="00C02A64">
      <w:pPr>
        <w:adjustRightInd w:val="0"/>
        <w:snapToGrid w:val="0"/>
        <w:spacing w:after="240" w:line="560" w:lineRule="exact"/>
        <w:jc w:val="left"/>
        <w:rPr>
          <w:rFonts w:ascii="方正小标宋简体" w:eastAsia="方正小标宋简体" w:hAnsi="宋体" w:cs="Times New Roman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一、基础管理</w:t>
      </w:r>
      <w:r w:rsidRPr="00B9524A">
        <w:rPr>
          <w:rFonts w:ascii="黑体" w:eastAsia="黑体" w:hAnsi="黑体" w:cs="黑体" w:hint="eastAsia"/>
          <w:b/>
          <w:bCs/>
          <w:sz w:val="28"/>
          <w:szCs w:val="28"/>
        </w:rPr>
        <w:t>类事故隐患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（是指生产经营单位安全管理体制、机制及程序等方面存在的缺陷）</w:t>
      </w:r>
    </w:p>
    <w:tbl>
      <w:tblPr>
        <w:tblW w:w="513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1"/>
        <w:gridCol w:w="2979"/>
        <w:gridCol w:w="4160"/>
      </w:tblGrid>
      <w:tr w:rsidR="0052059F" w:rsidRPr="00B74130">
        <w:trPr>
          <w:trHeight w:val="413"/>
          <w:tblHeader/>
          <w:jc w:val="center"/>
        </w:trPr>
        <w:tc>
          <w:tcPr>
            <w:tcW w:w="921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隐患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类别</w:t>
            </w:r>
          </w:p>
        </w:tc>
        <w:tc>
          <w:tcPr>
            <w:tcW w:w="1702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隐患内容</w:t>
            </w:r>
          </w:p>
        </w:tc>
        <w:tc>
          <w:tcPr>
            <w:tcW w:w="2377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说明</w:t>
            </w:r>
          </w:p>
        </w:tc>
      </w:tr>
      <w:tr w:rsidR="0052059F" w:rsidRPr="00B74130">
        <w:trPr>
          <w:trHeight w:val="623"/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资质证照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1.1.1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缺少资质证照</w:t>
            </w:r>
          </w:p>
        </w:tc>
        <w:tc>
          <w:tcPr>
            <w:tcW w:w="2377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未按规定取得合法的营业执照、消防验收（备案）文件、涉及危险化学品的企业需要的安全生产许可证等资质证照。</w:t>
            </w:r>
          </w:p>
        </w:tc>
      </w:tr>
      <w:tr w:rsidR="0052059F" w:rsidRPr="00B74130">
        <w:trPr>
          <w:trHeight w:val="561"/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1.1.2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资质证照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未合法有效</w:t>
            </w:r>
          </w:p>
        </w:tc>
        <w:tc>
          <w:tcPr>
            <w:tcW w:w="2377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安全生产管理机构及人员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1.2.1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安全生产管理机构（含职业健康管理机构）设置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按规定建立安全生产管理机构（含职业健康管理机构）。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1.2.2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安全管理人员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（含职业健康管理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人员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）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配备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按规定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配备安全管理人员（含职业健康管理人员）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，人员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配备不足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或所配备的人员不符合要求等。</w:t>
            </w:r>
          </w:p>
        </w:tc>
      </w:tr>
      <w:tr w:rsidR="0052059F" w:rsidRPr="00B74130">
        <w:trPr>
          <w:trHeight w:val="529"/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1.2.3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A3ED4">
              <w:rPr>
                <w:rFonts w:ascii="仿宋_GB2312" w:eastAsia="仿宋_GB2312" w:hAnsi="宋体" w:cs="仿宋_GB2312" w:hint="eastAsia"/>
                <w:sz w:val="24"/>
                <w:szCs w:val="24"/>
              </w:rPr>
              <w:t>冶金等工贸企业未设有安全生产委员会等。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1.3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规章制度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1.3.1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安全生产责任制缺陷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建立、健全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安全生产责任制。</w:t>
            </w:r>
          </w:p>
        </w:tc>
      </w:tr>
      <w:tr w:rsidR="0052059F" w:rsidRPr="008C5D38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1.3.2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安全管理制度缺陷</w:t>
            </w:r>
          </w:p>
        </w:tc>
        <w:tc>
          <w:tcPr>
            <w:tcW w:w="2377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未按规定建立、健全安全管理制度，如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建设项目安全设施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和职业病防护设施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“三同时”管理、生产设备设施报废管理、隐患排查治理、应急管理、事故管理、安全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培训教育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、特种作业人员管理、安全投入、相关方管理、作业安全管理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1.3.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安全操作规程缺陷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C02A64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未按规定制定、完善安全操作规程，如</w:t>
            </w:r>
            <w:r w:rsidRPr="004B33D9">
              <w:rPr>
                <w:rFonts w:ascii="仿宋_GB2312" w:eastAsia="仿宋_GB2312" w:hAnsi="宋体" w:cs="仿宋_GB2312" w:hint="eastAsia"/>
                <w:sz w:val="24"/>
                <w:szCs w:val="24"/>
              </w:rPr>
              <w:t>覆盖主要设备设施生产作业和具有安全风险的作业活动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的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安全操作规程等。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1.3.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制度（文件）管理缺陷</w:t>
            </w:r>
          </w:p>
        </w:tc>
        <w:tc>
          <w:tcPr>
            <w:tcW w:w="2377" w:type="pct"/>
            <w:vAlign w:val="center"/>
          </w:tcPr>
          <w:p w:rsidR="0052059F" w:rsidRPr="00326CA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326CAF">
              <w:rPr>
                <w:rFonts w:ascii="仿宋_GB2312" w:eastAsia="仿宋_GB2312" w:hAnsi="宋体" w:cs="仿宋_GB2312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按规定</w:t>
            </w:r>
            <w:r w:rsidRPr="00326CAF">
              <w:rPr>
                <w:rFonts w:ascii="仿宋_GB2312" w:eastAsia="仿宋_GB2312" w:hAnsi="宋体" w:cs="仿宋_GB2312" w:hint="eastAsia"/>
                <w:sz w:val="24"/>
                <w:szCs w:val="24"/>
              </w:rPr>
              <w:t>制定制度编制、发布、修订等制度，或未按照制度执行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，如制度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编制、发布、修订等过程不规范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787290">
              <w:rPr>
                <w:rFonts w:ascii="仿宋_GB2312" w:eastAsia="仿宋_GB2312" w:hAnsi="宋体" w:cs="仿宋_GB2312" w:hint="eastAsia"/>
                <w:sz w:val="24"/>
                <w:szCs w:val="24"/>
              </w:rPr>
              <w:t>制度（文件）试行、现行有效或过期废</w:t>
            </w:r>
            <w:r w:rsidRPr="00787290">
              <w:rPr>
                <w:rFonts w:ascii="仿宋_GB2312" w:eastAsia="仿宋_GB2312" w:hAnsi="宋体" w:cs="仿宋_GB2312" w:hint="eastAsia"/>
                <w:sz w:val="24"/>
                <w:szCs w:val="24"/>
              </w:rPr>
              <w:lastRenderedPageBreak/>
              <w:t>止标识不清，过期废止回收销毁等规定不明确，制度（文件）发布后宣贯、执行检查不到位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记录（台账、档案）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的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数量、格式、内容不明确，填写不规范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507"/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1.3.5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培训教育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1.4.1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主要负责人、安全管理人员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培训教育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不足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未按规定取证</w:t>
            </w:r>
            <w:r w:rsidRPr="00787290">
              <w:rPr>
                <w:rFonts w:ascii="仿宋_GB2312" w:eastAsia="仿宋_GB2312" w:hAnsi="宋体" w:cs="仿宋_GB2312" w:hint="eastAsia"/>
                <w:sz w:val="24"/>
                <w:szCs w:val="24"/>
              </w:rPr>
              <w:t>，取证后没有按年度进行培训教育或培训教育学时不够等。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1.4.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特种作业人员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、特种设备作业人员培训教育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不足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未按规定取证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证件过期或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证件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与实际岗位不符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1.4.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一般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从业人员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培训教育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不足</w:t>
            </w:r>
          </w:p>
        </w:tc>
        <w:tc>
          <w:tcPr>
            <w:tcW w:w="2377" w:type="pct"/>
            <w:vAlign w:val="center"/>
          </w:tcPr>
          <w:p w:rsidR="0052059F" w:rsidRPr="007E60C8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color w:val="FF0000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缺少日常教育、“三级”教育、“四新”教育、转岗、重新上岗等安全培训教育，或安全培训教育达不到规定时间，或内容不符合要求等。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F037DA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1.4.4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1.5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安全投入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1.5.1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安全投入不足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冶金、机械等企业未按国家相关规定提取安全投入资金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，其他行业企业未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保证必要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的安全投入等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1.5.2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投入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使用缺陷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安全投入使用范围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或使用金额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不符合要求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1.5.3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未按规定购买工伤保险等。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1.6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相关方管理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1.6.1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相关方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资质缺陷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对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相关方有关安全资质和能力确认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，或相关方不具备合格资质。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DC2155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/>
                <w:sz w:val="24"/>
                <w:szCs w:val="24"/>
              </w:rPr>
              <w:t>1.6.2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安全职责约定缺陷</w:t>
            </w:r>
          </w:p>
        </w:tc>
        <w:tc>
          <w:tcPr>
            <w:tcW w:w="2377" w:type="pct"/>
            <w:vAlign w:val="center"/>
          </w:tcPr>
          <w:p w:rsidR="0052059F" w:rsidRPr="00DC2155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未按规定签订安全协议，或未在劳动、租赁合同中约定各自的安全生产管理职责等。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1.6.3 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安全教育、监督管理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未按规定对相关方人员进行安全教育、监督管理等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1.6.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1.7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重大危险源管理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1.7.1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重大危险源辨识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与评估缺陷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未进行重大危险源辨识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评估，或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辨识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评估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不正确等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1.7.2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登记建档备案缺陷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未按规定进行登记、建档、备案等。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1.7.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重大危险源监控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预警缺陷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对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重大危险源进行监控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104BA3">
              <w:rPr>
                <w:rFonts w:ascii="仿宋_GB2312" w:eastAsia="仿宋_GB2312" w:hAnsi="宋体" w:cs="仿宋_GB2312" w:hint="eastAsia"/>
                <w:sz w:val="24"/>
                <w:szCs w:val="24"/>
              </w:rPr>
              <w:t>或监控预警系统不能正常工作。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1.7.4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1.8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个体防护装备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 xml:space="preserve">1.8.1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个体防护装备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配备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不足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未按规定选用、配备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、按期发放所需的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个体防护装备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 xml:space="preserve">1.8.2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个体防护装备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未按规定对个体防护装备实施有效管理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1.8.3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1.9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职业健康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1.9.1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职业病危害项目申报缺陷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未按规定申报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危害因素岗位，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申报内容不全，未申请变更等。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1.9.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职业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病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危害因素检测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评价缺陷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危害因素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进行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检测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评价，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或</w:t>
            </w:r>
            <w:r w:rsidRPr="00787290">
              <w:rPr>
                <w:rFonts w:ascii="仿宋_GB2312" w:eastAsia="仿宋_GB2312" w:hAnsi="宋体" w:cs="仿宋_GB2312" w:hint="eastAsia"/>
                <w:sz w:val="24"/>
                <w:szCs w:val="24"/>
              </w:rPr>
              <w:t>检测评价因素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1.9.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职业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病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危害因素告知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在劳动合同中写明，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检测结果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未公示等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1.9.4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职业健康检查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建立职业健康档案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开展职业健康体检，或体检结果未通知劳动者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1.9.5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6A295C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未按相关规定将职业病患者调离原岗位等。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1.10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应急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管理</w:t>
            </w:r>
          </w:p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 xml:space="preserve">.1 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应急组织机构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队伍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未按规定设置或指定应急管理办事机构，配备应急管理人员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，未</w:t>
            </w:r>
            <w:r w:rsidRPr="00B74130"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按规定建立专兼职应急救援队伍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应急预案制定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及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kern w:val="0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未按规定制定各类应急预案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未对预案进行有效管理（论证、评审、修订、备案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和持续改进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等）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应急演练实施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及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评估总结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A61021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color w:val="FF0000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未按规定进行应急演练，或未对应急演练进行评估和总结等。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应急设施、装备、物资设置配备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维修保养和管理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未建立应急设施，未配备应急装备、物资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未按规定进行经常性的检查、维护、保养和管理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526"/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1.10.5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隐患排查治理</w:t>
            </w:r>
          </w:p>
        </w:tc>
        <w:tc>
          <w:tcPr>
            <w:tcW w:w="1702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1.11.1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事故隐患排查不足</w:t>
            </w:r>
          </w:p>
        </w:tc>
        <w:tc>
          <w:tcPr>
            <w:tcW w:w="2377" w:type="pct"/>
            <w:vAlign w:val="center"/>
          </w:tcPr>
          <w:p w:rsidR="0052059F" w:rsidRPr="00A61021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color w:val="FF0000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未按规定开展事故隐患排查工作。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1.11.2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事故隐患治理不足</w:t>
            </w:r>
          </w:p>
        </w:tc>
        <w:tc>
          <w:tcPr>
            <w:tcW w:w="2377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未按规定开展事故隐患治理工作，或事故隐患治理不彻底等。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1.11.3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事故隐患上报不足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未按规定对事故隐患进行上报。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1.11.4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包括未对事故隐患进行统计分析等。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 w:val="restar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1.12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事故报告、调查和处理</w:t>
            </w: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1.12.1 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事故报告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未按规定及时报告，并保护事故现场及有关证据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1.12.2 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事故调查和处理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未对事故进行调查、处理、分析</w:t>
            </w:r>
            <w:r>
              <w:rPr>
                <w:rFonts w:ascii="仿宋_GB2312" w:eastAsia="仿宋_GB2312" w:hAnsi="宋体" w:cs="仿宋_GB2312" w:hint="eastAsia"/>
                <w:kern w:val="0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jc w:val="center"/>
        </w:trPr>
        <w:tc>
          <w:tcPr>
            <w:tcW w:w="921" w:type="pct"/>
            <w:vMerge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702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1.12.3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377" w:type="pct"/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21" w:type="pct"/>
            <w:tcBorders>
              <w:bottom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1.13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1702" w:type="pct"/>
            <w:tcBorders>
              <w:bottom w:val="single" w:sz="12" w:space="0" w:color="auto"/>
            </w:tcBorders>
            <w:vAlign w:val="center"/>
          </w:tcPr>
          <w:p w:rsidR="0052059F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377" w:type="pct"/>
            <w:tcBorders>
              <w:bottom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before="100" w:beforeAutospacing="1" w:after="100" w:afterAutospacing="1"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其他管理上的缺陷。</w:t>
            </w:r>
          </w:p>
        </w:tc>
      </w:tr>
    </w:tbl>
    <w:p w:rsidR="0052059F" w:rsidRPr="00AE420F" w:rsidRDefault="0052059F" w:rsidP="0053473F">
      <w:pPr>
        <w:spacing w:beforeLines="50" w:before="156" w:afterLines="50" w:after="156"/>
        <w:rPr>
          <w:rFonts w:cs="Times New Roman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二、现场管理</w:t>
      </w:r>
      <w:r w:rsidRPr="00B9524A">
        <w:rPr>
          <w:rFonts w:ascii="黑体" w:eastAsia="黑体" w:hAnsi="黑体" w:cs="黑体" w:hint="eastAsia"/>
          <w:b/>
          <w:bCs/>
          <w:sz w:val="28"/>
          <w:szCs w:val="28"/>
        </w:rPr>
        <w:t>类事故隐患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（是指生产经营单位在作业场所环境、设备设施及作业行为等方面存在的缺陷）</w:t>
      </w:r>
    </w:p>
    <w:tbl>
      <w:tblPr>
        <w:tblW w:w="513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0"/>
        <w:gridCol w:w="2693"/>
        <w:gridCol w:w="4417"/>
      </w:tblGrid>
      <w:tr w:rsidR="0052059F" w:rsidRPr="00B74130">
        <w:trPr>
          <w:trHeight w:val="555"/>
          <w:tblHeader/>
          <w:jc w:val="center"/>
        </w:trPr>
        <w:tc>
          <w:tcPr>
            <w:tcW w:w="937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53473F">
            <w:pPr>
              <w:spacing w:beforeLines="50" w:before="156" w:afterLines="50" w:after="156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隐患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类别</w:t>
            </w:r>
          </w:p>
        </w:tc>
        <w:tc>
          <w:tcPr>
            <w:tcW w:w="1539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53473F">
            <w:pPr>
              <w:spacing w:beforeLines="50" w:before="156" w:afterLines="50" w:after="156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隐患内容</w:t>
            </w:r>
          </w:p>
        </w:tc>
        <w:tc>
          <w:tcPr>
            <w:tcW w:w="2524" w:type="pct"/>
            <w:tcBorders>
              <w:top w:val="single" w:sz="12" w:space="0" w:color="auto"/>
            </w:tcBorders>
            <w:vAlign w:val="center"/>
          </w:tcPr>
          <w:p w:rsidR="0052059F" w:rsidRPr="00B74130" w:rsidRDefault="0052059F" w:rsidP="0053473F">
            <w:pPr>
              <w:spacing w:beforeLines="50" w:before="156" w:afterLines="50" w:after="156"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说明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2.1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作业场所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2.1.1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选址缺陷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作业场所未按规定选择在常年主导风上风或侧风风向，靠近易燃易爆场所，地质条件不良，企业内新建</w:t>
            </w:r>
            <w:r w:rsidRPr="001870B9">
              <w:rPr>
                <w:rFonts w:ascii="仿宋_GB2312" w:eastAsia="仿宋_GB2312" w:hAnsi="宋体" w:cs="仿宋_GB2312" w:hint="eastAsia"/>
                <w:sz w:val="24"/>
                <w:szCs w:val="24"/>
              </w:rPr>
              <w:t>构筑物、装置安全卫生防护距离不足等。</w:t>
            </w:r>
          </w:p>
        </w:tc>
      </w:tr>
      <w:tr w:rsidR="0052059F" w:rsidRPr="00DA1E7F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2.1.2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设计、施工缺陷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未按规定对建构筑物的防火等级、安全距离、防雷、防震等进行设计、施工，或改建、扩建、装修没有按安全要求进行等。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2.1.3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平面布局缺陷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住宿</w:t>
            </w:r>
            <w:r w:rsidRPr="00504EDF">
              <w:rPr>
                <w:rFonts w:ascii="仿宋_GB2312" w:eastAsia="仿宋_GB2312" w:hAnsi="宋体" w:cs="仿宋_GB2312" w:hint="eastAsia"/>
                <w:sz w:val="24"/>
                <w:szCs w:val="24"/>
              </w:rPr>
              <w:t>场所与加工、生产、仓储、经营等场所在同一建筑内混合设置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;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爆炸危险场所</w:t>
            </w:r>
            <w:r w:rsidRPr="00BF2524">
              <w:rPr>
                <w:rFonts w:ascii="仿宋_GB2312" w:eastAsia="仿宋_GB2312" w:hAnsi="宋体" w:cs="仿宋_GB2312" w:hint="eastAsia"/>
                <w:sz w:val="24"/>
                <w:szCs w:val="24"/>
              </w:rPr>
              <w:t>或存放易燃易爆品场所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与易燃易爆场所联通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;</w:t>
            </w:r>
            <w:r w:rsidRPr="001870B9">
              <w:rPr>
                <w:rFonts w:ascii="仿宋_GB2312" w:eastAsia="仿宋_GB2312" w:hAnsi="宋体" w:cs="仿宋_GB2312" w:hint="eastAsia"/>
                <w:sz w:val="24"/>
                <w:szCs w:val="24"/>
              </w:rPr>
              <w:t>建构筑物内，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设备布置、机械、电气、防火、防爆等安全距离不够，或卫生防护距离不够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场地狭窄杂乱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作业场所狭窄难以操作，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工具、材料放置混乱等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5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地面开口缺陷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坑、沟、池、井等开口的不安全状况，如无安全盖板</w:t>
            </w:r>
            <w:r w:rsidRPr="00787290">
              <w:rPr>
                <w:rFonts w:ascii="仿宋_GB2312" w:eastAsia="仿宋_GB2312" w:hAnsi="宋体" w:cs="仿宋_GB2312" w:hint="eastAsia"/>
                <w:sz w:val="24"/>
                <w:szCs w:val="24"/>
              </w:rPr>
              <w:t>或安全盖板不符合要求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6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逃生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包括无安全通道，安全通道狭窄、不畅等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未按规定设置安全出口，包括无安全出口、安全出口数量不足、设置不合理等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7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交通线路的配置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容易导致车辆伤害或消防通道不符合要求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2.1.8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安全标志缺陷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</w:t>
            </w:r>
            <w:r w:rsidRPr="001870B9">
              <w:rPr>
                <w:rFonts w:ascii="仿宋_GB2312" w:eastAsia="仿宋_GB2312" w:hAnsi="宋体" w:cs="仿宋_GB2312" w:hint="eastAsia"/>
                <w:sz w:val="24"/>
                <w:szCs w:val="24"/>
              </w:rPr>
              <w:t>设置安全标志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，如无标志标识、标志不规范、标志选用不当等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9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地面湿滑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不平、梯架缺陷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、装修材料缺陷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 w:val="restar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1E5A97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设备设施</w:t>
            </w:r>
          </w:p>
        </w:tc>
        <w:tc>
          <w:tcPr>
            <w:tcW w:w="1539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1E5A97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1E5A97">
              <w:rPr>
                <w:rFonts w:ascii="仿宋_GB2312" w:eastAsia="仿宋_GB2312" w:hAnsi="宋体" w:cs="仿宋_GB2312"/>
                <w:sz w:val="24"/>
                <w:szCs w:val="24"/>
              </w:rPr>
              <w:t xml:space="preserve">.1 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工艺流程缺陷</w:t>
            </w:r>
          </w:p>
        </w:tc>
        <w:tc>
          <w:tcPr>
            <w:tcW w:w="2524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032C">
              <w:rPr>
                <w:rFonts w:ascii="仿宋_GB2312" w:eastAsia="仿宋_GB2312" w:hAnsi="宋体" w:cs="仿宋_GB2312" w:hint="eastAsia"/>
                <w:sz w:val="24"/>
                <w:szCs w:val="24"/>
              </w:rPr>
              <w:t>工艺流程布置不顺畅，交叉（平交）点多，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产量增大后没有及时调整工艺路线等</w:t>
            </w:r>
            <w:r w:rsidRPr="00B7032C">
              <w:rPr>
                <w:rFonts w:ascii="仿宋_GB2312" w:eastAsia="仿宋_GB2312" w:hAnsi="宋体" w:cs="仿宋_GB2312" w:hint="eastAsia"/>
                <w:sz w:val="24"/>
                <w:szCs w:val="24"/>
              </w:rPr>
              <w:t>易导致生产安全事故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的缺陷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 w:rsidTr="007C5442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</w:tcPr>
          <w:p w:rsidR="0052059F" w:rsidRPr="001E5A97" w:rsidRDefault="0052059F" w:rsidP="007C5442">
            <w:pPr>
              <w:spacing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1E5A97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1E5A97">
              <w:rPr>
                <w:rFonts w:ascii="仿宋_GB2312" w:eastAsia="仿宋_GB2312" w:hAnsi="宋体" w:cs="仿宋_GB2312"/>
                <w:sz w:val="24"/>
                <w:szCs w:val="24"/>
              </w:rPr>
              <w:t xml:space="preserve">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通用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设备设施缺陷</w:t>
            </w:r>
          </w:p>
        </w:tc>
        <w:tc>
          <w:tcPr>
            <w:tcW w:w="2524" w:type="pct"/>
          </w:tcPr>
          <w:p w:rsidR="0052059F" w:rsidRPr="001E5A97" w:rsidRDefault="0052059F" w:rsidP="007C5442">
            <w:pPr>
              <w:spacing w:line="276" w:lineRule="auto"/>
              <w:jc w:val="center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通用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设备设施在设计、安装调试、使用上的缺陷，如强度、刚度、稳定性、密封性、耐腐性等缺陷，不符合安全要求，有人员易触及的运动部件外露，操纵器失灵、损坏，设备、设施表面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有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尖角利棱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，未按规定进行检验</w:t>
            </w:r>
            <w:r w:rsidRPr="001E5A97"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通用设备设施不包括特种设备、电气</w:t>
            </w:r>
            <w:r w:rsidRPr="002F0883">
              <w:rPr>
                <w:rFonts w:ascii="仿宋_GB2312" w:eastAsia="仿宋_GB2312" w:hAnsi="宋体" w:cs="仿宋_GB2312" w:hint="eastAsia"/>
                <w:sz w:val="24"/>
                <w:szCs w:val="24"/>
              </w:rPr>
              <w:t>设备设施、消防设备设施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、有较大危险因素设备设施以及安全监控设备。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专用设备设施缺陷</w:t>
            </w:r>
          </w:p>
        </w:tc>
        <w:tc>
          <w:tcPr>
            <w:tcW w:w="2524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根据行业生产特点，企业拥有的专用设备存在的安全缺陷，以及未按规定进行检验等。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2.2.4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特种设备缺陷</w:t>
            </w:r>
          </w:p>
        </w:tc>
        <w:tc>
          <w:tcPr>
            <w:tcW w:w="2524" w:type="pct"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未按规定取证、建档、定期检验、维护保养，或特种设备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不能达到规定的技术性能和安全状态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2.2.5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消防设备设施缺陷</w:t>
            </w:r>
          </w:p>
        </w:tc>
        <w:tc>
          <w:tcPr>
            <w:tcW w:w="2524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消防报警系统进行配线、设备选型安装，未按规定设置合格的给水管网、消火栓、消防水箱及自动、手动灭火设施器材，未按规定选用合格的机械防烟排烟设备，或设备安装不符合要求，防火门、防护卷帘及其他消防设备缺陷，以及未按规定进行检验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2.2.6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电气设备缺陷</w:t>
            </w:r>
          </w:p>
        </w:tc>
        <w:tc>
          <w:tcPr>
            <w:tcW w:w="2524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电气线路、设备、照明不符合标准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，保护装置不完善，</w:t>
            </w: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移动式设备不完善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防爆电气装置不符合标准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防雷装置不合格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防静电不合格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9B1B25">
              <w:rPr>
                <w:rFonts w:ascii="仿宋_GB2312" w:eastAsia="仿宋_GB2312" w:hAnsi="宋体" w:cs="仿宋_GB2312" w:hint="eastAsia"/>
                <w:sz w:val="24"/>
                <w:szCs w:val="24"/>
              </w:rPr>
              <w:t>电磁防护不合格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，以及未按规定进行检验等。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2.2.7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有较大危险因素设备设施缺陷</w:t>
            </w:r>
          </w:p>
        </w:tc>
        <w:tc>
          <w:tcPr>
            <w:tcW w:w="2524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未按规定对存在高温高压、有毒有害、易燃易爆等有较大危险因素的设施设备进行安全防护，未按规定对其进行经常性维护保养等。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1E5A97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2.2.8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安全监控设备缺陷</w:t>
            </w:r>
          </w:p>
        </w:tc>
        <w:tc>
          <w:tcPr>
            <w:tcW w:w="2524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未按规定安装监控设备监测有毒有害气体、生产工艺危险点等，安全监控设备设置不合理，或安全监控设备不能正常工作等。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EE1016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2.2.9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防护、保险、信号等装置装备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2.3.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无防护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没有实施必要的防护措施，如无防护罩、无安全保险装置、无报警装置、未安装防止“跑车”的挡车器或挡车栏等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2.3.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防护装置、设施缺陷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防护装置、设施本身安全性、可靠性差，包括防护装置、设施损坏、失效、失灵等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2.3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防护不当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未按规定配置、使用</w:t>
            </w:r>
            <w:r w:rsidRPr="001870B9">
              <w:rPr>
                <w:rFonts w:ascii="仿宋_GB2312" w:eastAsia="仿宋_GB2312" w:hAnsi="宋体" w:cs="仿宋_GB2312" w:hint="eastAsia"/>
                <w:sz w:val="24"/>
                <w:szCs w:val="24"/>
              </w:rPr>
              <w:t>合格的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防护装置、设施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2.3.4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096B1F">
            <w:pPr>
              <w:spacing w:line="276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2.4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原辅物料、产品</w:t>
            </w: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2.4.1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一般物品处置不当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仿宋_GB2312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物品存放不当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，如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成品、半成品、材料和生产用品等在储存数量、堆码方式等方面存放不当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物品使用不当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未按规定搬运、使用物品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；物品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失效、过期、发生物理化学变化等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2.4.2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危险化学品处置不当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对易燃、易爆、高温、高压、有毒有害等危险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化学品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处置错误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，危险化学品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失效、过期、发生物理化学变化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1870B9">
              <w:rPr>
                <w:rFonts w:ascii="仿宋_GB2312" w:eastAsia="仿宋_GB2312" w:hAnsi="宋体" w:cs="仿宋_GB2312" w:hint="eastAsia"/>
                <w:sz w:val="24"/>
                <w:szCs w:val="24"/>
              </w:rPr>
              <w:t>未按规定记录危险化学品出入库情况等。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2.4.3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原辅料调整更换时，未</w:t>
            </w:r>
            <w:r w:rsidRPr="008538EE">
              <w:rPr>
                <w:rFonts w:ascii="仿宋_GB2312" w:eastAsia="仿宋_GB2312" w:hAnsi="宋体" w:cs="仿宋_GB2312" w:hint="eastAsia"/>
                <w:sz w:val="24"/>
                <w:szCs w:val="24"/>
              </w:rPr>
              <w:t>进行安全评价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</w:t>
            </w:r>
            <w:r w:rsidRPr="008538EE"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5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职业病危害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A6A46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5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职业病危害超标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噪声强度超标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粉尘浓度超标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照度不足或过强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作业场所温度、湿度超出限值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缺氧或有毒有害气体超限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，辐射强度超限等。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5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.2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职业病危害因素标识不清</w:t>
            </w:r>
          </w:p>
        </w:tc>
        <w:tc>
          <w:tcPr>
            <w:tcW w:w="2524" w:type="pct"/>
            <w:vAlign w:val="center"/>
          </w:tcPr>
          <w:p w:rsidR="0052059F" w:rsidRPr="004D051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作业场所缺少</w:t>
            </w:r>
            <w:r w:rsidRPr="00D27156">
              <w:rPr>
                <w:rFonts w:ascii="仿宋_GB2312" w:eastAsia="仿宋_GB2312" w:hAnsi="宋体" w:cs="仿宋_GB2312" w:hint="eastAsia"/>
                <w:sz w:val="24"/>
                <w:szCs w:val="24"/>
              </w:rPr>
              <w:t>防护设施，公告栏，警示标识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5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2.6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相关方作业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相关方未按规定办理动火、动土、用电等手续，进入不应进入场所等</w:t>
            </w:r>
            <w:r w:rsidRPr="00097E1F">
              <w:rPr>
                <w:rFonts w:ascii="仿宋_GB2312" w:eastAsia="仿宋_GB2312" w:hAnsi="宋体" w:cs="仿宋_GB2312" w:hint="eastAsia"/>
                <w:sz w:val="24"/>
                <w:szCs w:val="24"/>
              </w:rPr>
              <w:t>涉及相关方现场管理方面的缺陷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 w:val="restar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2.7</w:t>
            </w: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安全技能</w:t>
            </w:r>
          </w:p>
        </w:tc>
        <w:tc>
          <w:tcPr>
            <w:tcW w:w="1539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2.7.1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违章指挥</w:t>
            </w:r>
          </w:p>
        </w:tc>
        <w:tc>
          <w:tcPr>
            <w:tcW w:w="2524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安排或指挥职工违反规定进行作业，如安排有职业禁忌的劳动者从事其所禁忌的作业；</w:t>
            </w:r>
            <w:r w:rsidRPr="00BE0DE2">
              <w:rPr>
                <w:rFonts w:ascii="仿宋_GB2312" w:eastAsia="仿宋_GB2312" w:hAnsi="宋体" w:cs="仿宋_GB2312" w:hint="eastAsia"/>
                <w:sz w:val="24"/>
                <w:szCs w:val="24"/>
              </w:rPr>
              <w:t>指挥工人在安全防护设施、设备有缺陷，隐患未解决的条件下冒险进行作业等。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/>
            <w:vAlign w:val="center"/>
          </w:tcPr>
          <w:p w:rsidR="0052059F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7</w:t>
            </w: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2</w:t>
            </w: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操作错误</w:t>
            </w:r>
          </w:p>
        </w:tc>
        <w:tc>
          <w:tcPr>
            <w:tcW w:w="2524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操作方式、流程错误，指按钮、阀门、搬手、把柄等的操作，以及未经许可开动、关停、移动机器；开动、关停机器时未给信号；开关未锁紧，造成意外转动、通电或泄漏，忘记关闭设备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</w:t>
            </w:r>
            <w:r w:rsidRPr="00DC2155">
              <w:rPr>
                <w:rFonts w:ascii="仿宋_GB2312" w:eastAsia="仿宋_GB2312" w:hAnsi="宋体" w:cs="仿宋_GB2312" w:hint="eastAsia"/>
                <w:sz w:val="24"/>
                <w:szCs w:val="24"/>
              </w:rPr>
              <w:t>拆除安全装置，造成安全装置失效等。</w:t>
            </w:r>
          </w:p>
        </w:tc>
      </w:tr>
      <w:tr w:rsidR="0052059F" w:rsidRPr="00CD505B">
        <w:trPr>
          <w:trHeight w:val="926"/>
          <w:jc w:val="center"/>
        </w:trPr>
        <w:tc>
          <w:tcPr>
            <w:tcW w:w="937" w:type="pct"/>
            <w:vMerge/>
            <w:vAlign w:val="center"/>
          </w:tcPr>
          <w:p w:rsidR="0052059F" w:rsidRPr="00D9784D" w:rsidRDefault="0052059F" w:rsidP="00A14E1B">
            <w:pPr>
              <w:rPr>
                <w:rFonts w:cs="Times New Roman"/>
              </w:rPr>
            </w:pPr>
          </w:p>
        </w:tc>
        <w:tc>
          <w:tcPr>
            <w:tcW w:w="1539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7</w:t>
            </w: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3</w:t>
            </w: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使用不安全设备、工具</w:t>
            </w:r>
          </w:p>
        </w:tc>
        <w:tc>
          <w:tcPr>
            <w:tcW w:w="2524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临时使用不牢固的设施，使用无安全装置的设备，使用已停用或报废的设备等。</w:t>
            </w:r>
          </w:p>
        </w:tc>
      </w:tr>
      <w:tr w:rsidR="0052059F" w:rsidRPr="00CD505B">
        <w:trPr>
          <w:jc w:val="center"/>
        </w:trPr>
        <w:tc>
          <w:tcPr>
            <w:tcW w:w="937" w:type="pct"/>
            <w:vMerge/>
            <w:vAlign w:val="center"/>
          </w:tcPr>
          <w:p w:rsidR="0052059F" w:rsidRPr="00D9784D" w:rsidRDefault="0052059F" w:rsidP="00A14E1B">
            <w:pPr>
              <w:rPr>
                <w:rFonts w:cs="Times New Roman"/>
              </w:rPr>
            </w:pPr>
          </w:p>
        </w:tc>
        <w:tc>
          <w:tcPr>
            <w:tcW w:w="1539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7</w:t>
            </w: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4</w:t>
            </w:r>
            <w:r w:rsidRPr="00D9784D">
              <w:rPr>
                <w:rFonts w:ascii="仿宋_GB2312" w:eastAsia="仿宋_GB2312" w:hAnsi="宋体" w:cs="仿宋_GB2312"/>
                <w:sz w:val="24"/>
                <w:szCs w:val="24"/>
              </w:rPr>
              <w:t xml:space="preserve"> </w:t>
            </w: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工具使用错误</w:t>
            </w:r>
          </w:p>
        </w:tc>
        <w:tc>
          <w:tcPr>
            <w:tcW w:w="2524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使用不合适的工具，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或没有按要求进行使用</w:t>
            </w:r>
            <w:r w:rsidRPr="00D9784D">
              <w:rPr>
                <w:rFonts w:ascii="仿宋_GB2312" w:eastAsia="仿宋_GB2312" w:hAnsi="宋体" w:cs="仿宋_GB2312" w:hint="eastAsia"/>
                <w:sz w:val="24"/>
                <w:szCs w:val="24"/>
              </w:rPr>
              <w:t>等。</w:t>
            </w:r>
          </w:p>
        </w:tc>
      </w:tr>
      <w:tr w:rsidR="0052059F" w:rsidRPr="00CD505B">
        <w:trPr>
          <w:jc w:val="center"/>
        </w:trPr>
        <w:tc>
          <w:tcPr>
            <w:tcW w:w="937" w:type="pct"/>
            <w:vMerge/>
            <w:vAlign w:val="center"/>
          </w:tcPr>
          <w:p w:rsidR="0052059F" w:rsidRPr="00D9784D" w:rsidRDefault="0052059F" w:rsidP="00A14E1B">
            <w:pPr>
              <w:rPr>
                <w:rFonts w:cs="Times New Roman"/>
              </w:rPr>
            </w:pPr>
          </w:p>
        </w:tc>
        <w:tc>
          <w:tcPr>
            <w:tcW w:w="1539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2.7.5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冒险作业</w:t>
            </w:r>
          </w:p>
        </w:tc>
        <w:tc>
          <w:tcPr>
            <w:tcW w:w="2524" w:type="pct"/>
            <w:vAlign w:val="center"/>
          </w:tcPr>
          <w:p w:rsidR="0052059F" w:rsidRPr="00D9784D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冒险进入危险场所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，或在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危险场所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冒险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停留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、冒险作业，如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未经允许进入涵洞、油罐、井等有限空间或高压电设备等其它危险区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攀、坐不安全位置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(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如平台护栏、汽车挡板、吊车吊钩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)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在起吊物下停留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；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采伐、集材、运材、装车时，未远离危险区；机器运转时加油、维修、焊接、清扫等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2.7.6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包括脱岗、超负荷作业等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操作错误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、违反劳动纪律行为。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8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8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个体防护装备使用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在必须使用个人防护用品用具的作业或场合中，忽视其使用，如未戴安全帽，未戴护目镜或面罩，未佩戴呼吸护具，未戴防护手套，未穿防护服，未穿安全鞋等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8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不安全装束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在有旋转零部件的设备旁作业穿着肥大服装、操纵有旋转零部件的设备时戴手套等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。</w:t>
            </w:r>
          </w:p>
        </w:tc>
      </w:tr>
      <w:tr w:rsidR="0052059F" w:rsidRPr="00B74130">
        <w:trPr>
          <w:trHeight w:val="440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2.8.3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jc w:val="center"/>
        </w:trPr>
        <w:tc>
          <w:tcPr>
            <w:tcW w:w="937" w:type="pct"/>
            <w:vMerge w:val="restar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9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作业许可</w:t>
            </w: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9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.1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作业前未办理许可手续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动火作业、有限空间作业、大型吊装作业、高空作业等作业前未按规定办理手续。</w:t>
            </w:r>
          </w:p>
        </w:tc>
      </w:tr>
      <w:tr w:rsidR="0052059F" w:rsidRPr="00B74130">
        <w:trPr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2.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9</w:t>
            </w:r>
            <w:r w:rsidRPr="00B74130">
              <w:rPr>
                <w:rFonts w:ascii="仿宋_GB2312" w:eastAsia="仿宋_GB2312" w:hAnsi="宋体" w:cs="仿宋_GB2312"/>
                <w:sz w:val="24"/>
                <w:szCs w:val="24"/>
              </w:rPr>
              <w:t>.2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安全措施落实缺陷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未落实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安全措施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或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安全措施</w:t>
            </w:r>
            <w:r w:rsidRPr="00B74130">
              <w:rPr>
                <w:rFonts w:ascii="仿宋_GB2312" w:eastAsia="仿宋_GB2312" w:hAnsi="宋体" w:cs="仿宋_GB2312" w:hint="eastAsia"/>
                <w:sz w:val="24"/>
                <w:szCs w:val="24"/>
              </w:rPr>
              <w:t>落实不足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，作业完毕未确认安全状态等。</w:t>
            </w:r>
          </w:p>
        </w:tc>
      </w:tr>
      <w:tr w:rsidR="0052059F" w:rsidRPr="00B74130">
        <w:trPr>
          <w:trHeight w:val="443"/>
          <w:jc w:val="center"/>
        </w:trPr>
        <w:tc>
          <w:tcPr>
            <w:tcW w:w="937" w:type="pct"/>
            <w:vMerge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2.9.3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2524" w:type="pct"/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52059F" w:rsidRPr="00B74130">
        <w:trPr>
          <w:trHeight w:val="482"/>
          <w:jc w:val="center"/>
        </w:trPr>
        <w:tc>
          <w:tcPr>
            <w:tcW w:w="937" w:type="pct"/>
            <w:tcBorders>
              <w:bottom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 xml:space="preserve">2.10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其他</w:t>
            </w:r>
          </w:p>
        </w:tc>
        <w:tc>
          <w:tcPr>
            <w:tcW w:w="1539" w:type="pct"/>
            <w:tcBorders>
              <w:bottom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2524" w:type="pct"/>
            <w:tcBorders>
              <w:bottom w:val="single" w:sz="12" w:space="0" w:color="auto"/>
            </w:tcBorders>
            <w:vAlign w:val="center"/>
          </w:tcPr>
          <w:p w:rsidR="0052059F" w:rsidRPr="00B74130" w:rsidRDefault="0052059F" w:rsidP="00A14E1B">
            <w:pPr>
              <w:spacing w:line="276" w:lineRule="auto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</w:tbl>
    <w:p w:rsidR="0052059F" w:rsidRPr="00787110" w:rsidRDefault="0052059F" w:rsidP="00787290">
      <w:pPr>
        <w:adjustRightInd w:val="0"/>
        <w:snapToGrid w:val="0"/>
        <w:rPr>
          <w:rFonts w:ascii="仿宋_GB2312" w:eastAsia="仿宋_GB2312" w:hAnsi="宋体" w:cs="Times New Roman"/>
          <w:b/>
          <w:bCs/>
          <w:sz w:val="30"/>
          <w:szCs w:val="30"/>
        </w:rPr>
      </w:pPr>
    </w:p>
    <w:p w:rsidR="0052059F" w:rsidRPr="0013113B" w:rsidRDefault="0052059F" w:rsidP="0013113B">
      <w:pPr>
        <w:spacing w:line="560" w:lineRule="exact"/>
        <w:rPr>
          <w:rFonts w:ascii="仿宋_GB2312" w:eastAsia="仿宋_GB2312" w:cs="Times New Roman"/>
          <w:sz w:val="32"/>
          <w:szCs w:val="32"/>
        </w:rPr>
      </w:pPr>
    </w:p>
    <w:sectPr w:rsidR="0052059F" w:rsidRPr="0013113B" w:rsidSect="0080483D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706" w:rsidRDefault="00714706" w:rsidP="00BC54F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14706" w:rsidRDefault="00714706" w:rsidP="00BC54F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706" w:rsidRDefault="00714706" w:rsidP="00BC54F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14706" w:rsidRDefault="00714706" w:rsidP="00BC54F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5324"/>
    <w:rsid w:val="00001643"/>
    <w:rsid w:val="00031598"/>
    <w:rsid w:val="00086B43"/>
    <w:rsid w:val="00095A7B"/>
    <w:rsid w:val="00096B1F"/>
    <w:rsid w:val="00097E1F"/>
    <w:rsid w:val="000C4BE8"/>
    <w:rsid w:val="000D0B59"/>
    <w:rsid w:val="000E41E0"/>
    <w:rsid w:val="000E71C7"/>
    <w:rsid w:val="000F00F3"/>
    <w:rsid w:val="00104BA3"/>
    <w:rsid w:val="0011334C"/>
    <w:rsid w:val="00116FB9"/>
    <w:rsid w:val="0013113B"/>
    <w:rsid w:val="001752AB"/>
    <w:rsid w:val="001870B9"/>
    <w:rsid w:val="001B03B5"/>
    <w:rsid w:val="001D15A5"/>
    <w:rsid w:val="001E5A97"/>
    <w:rsid w:val="0020094D"/>
    <w:rsid w:val="00226176"/>
    <w:rsid w:val="00234FAA"/>
    <w:rsid w:val="00242D44"/>
    <w:rsid w:val="002D47CC"/>
    <w:rsid w:val="002E1ADD"/>
    <w:rsid w:val="002F0883"/>
    <w:rsid w:val="003003C5"/>
    <w:rsid w:val="0030160B"/>
    <w:rsid w:val="00326CAF"/>
    <w:rsid w:val="0034444E"/>
    <w:rsid w:val="00366162"/>
    <w:rsid w:val="003A1DB2"/>
    <w:rsid w:val="003A35BC"/>
    <w:rsid w:val="003C6A67"/>
    <w:rsid w:val="00405518"/>
    <w:rsid w:val="00425F8B"/>
    <w:rsid w:val="004B33D9"/>
    <w:rsid w:val="004D051F"/>
    <w:rsid w:val="004D39B4"/>
    <w:rsid w:val="004F043E"/>
    <w:rsid w:val="00501CDC"/>
    <w:rsid w:val="00504EDF"/>
    <w:rsid w:val="0052059F"/>
    <w:rsid w:val="005316AC"/>
    <w:rsid w:val="0053473F"/>
    <w:rsid w:val="00573726"/>
    <w:rsid w:val="005A195C"/>
    <w:rsid w:val="006626CD"/>
    <w:rsid w:val="00663C18"/>
    <w:rsid w:val="00682DE4"/>
    <w:rsid w:val="00686CF1"/>
    <w:rsid w:val="00695485"/>
    <w:rsid w:val="006A295C"/>
    <w:rsid w:val="006B4B0E"/>
    <w:rsid w:val="006E0507"/>
    <w:rsid w:val="00714706"/>
    <w:rsid w:val="0072007A"/>
    <w:rsid w:val="00735E80"/>
    <w:rsid w:val="00737425"/>
    <w:rsid w:val="00743A21"/>
    <w:rsid w:val="00745690"/>
    <w:rsid w:val="00784452"/>
    <w:rsid w:val="00787110"/>
    <w:rsid w:val="00787290"/>
    <w:rsid w:val="00787D09"/>
    <w:rsid w:val="007C5442"/>
    <w:rsid w:val="007C6FFA"/>
    <w:rsid w:val="007E60C8"/>
    <w:rsid w:val="007E6B2E"/>
    <w:rsid w:val="007F164B"/>
    <w:rsid w:val="007F409A"/>
    <w:rsid w:val="0080483D"/>
    <w:rsid w:val="00823D7B"/>
    <w:rsid w:val="00836ADE"/>
    <w:rsid w:val="00837DB4"/>
    <w:rsid w:val="008538EE"/>
    <w:rsid w:val="008A0901"/>
    <w:rsid w:val="008C451E"/>
    <w:rsid w:val="008C5D38"/>
    <w:rsid w:val="008C6C72"/>
    <w:rsid w:val="008D28E8"/>
    <w:rsid w:val="008F7527"/>
    <w:rsid w:val="009312E5"/>
    <w:rsid w:val="00936875"/>
    <w:rsid w:val="00957783"/>
    <w:rsid w:val="00972C20"/>
    <w:rsid w:val="009B1B25"/>
    <w:rsid w:val="009B6A82"/>
    <w:rsid w:val="009C199E"/>
    <w:rsid w:val="00A017F6"/>
    <w:rsid w:val="00A14E1B"/>
    <w:rsid w:val="00A61021"/>
    <w:rsid w:val="00A83230"/>
    <w:rsid w:val="00AA6A46"/>
    <w:rsid w:val="00AE2C0D"/>
    <w:rsid w:val="00AE420F"/>
    <w:rsid w:val="00AE7C31"/>
    <w:rsid w:val="00AF60E9"/>
    <w:rsid w:val="00B26742"/>
    <w:rsid w:val="00B356CA"/>
    <w:rsid w:val="00B402A4"/>
    <w:rsid w:val="00B55165"/>
    <w:rsid w:val="00B7032C"/>
    <w:rsid w:val="00B74130"/>
    <w:rsid w:val="00B9524A"/>
    <w:rsid w:val="00BA3ED4"/>
    <w:rsid w:val="00BA67BA"/>
    <w:rsid w:val="00BC54FE"/>
    <w:rsid w:val="00BE0831"/>
    <w:rsid w:val="00BE0DE2"/>
    <w:rsid w:val="00BF2524"/>
    <w:rsid w:val="00C02A64"/>
    <w:rsid w:val="00C05324"/>
    <w:rsid w:val="00C058F0"/>
    <w:rsid w:val="00C15FBF"/>
    <w:rsid w:val="00C54FF4"/>
    <w:rsid w:val="00C634C8"/>
    <w:rsid w:val="00C63703"/>
    <w:rsid w:val="00C7261B"/>
    <w:rsid w:val="00CB03DE"/>
    <w:rsid w:val="00CB361D"/>
    <w:rsid w:val="00CD505B"/>
    <w:rsid w:val="00CF69E1"/>
    <w:rsid w:val="00D06C28"/>
    <w:rsid w:val="00D0744C"/>
    <w:rsid w:val="00D27156"/>
    <w:rsid w:val="00D76325"/>
    <w:rsid w:val="00D81502"/>
    <w:rsid w:val="00D9784D"/>
    <w:rsid w:val="00DA1E7F"/>
    <w:rsid w:val="00DB5AA6"/>
    <w:rsid w:val="00DC2155"/>
    <w:rsid w:val="00EE1016"/>
    <w:rsid w:val="00EF36C6"/>
    <w:rsid w:val="00EF72BA"/>
    <w:rsid w:val="00F037DA"/>
    <w:rsid w:val="00F076E0"/>
    <w:rsid w:val="00F50439"/>
    <w:rsid w:val="00F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  <w15:chartTrackingRefBased/>
  <w15:docId w15:val="{6D0B89F2-5CAB-4189-BC34-30B45FD6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CF1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787290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787290"/>
    <w:rPr>
      <w:rFonts w:ascii="Cambria" w:hAnsi="Cambria" w:cs="Cambria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BC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BC54FE"/>
    <w:rPr>
      <w:sz w:val="18"/>
      <w:szCs w:val="18"/>
    </w:rPr>
  </w:style>
  <w:style w:type="paragraph" w:styleId="a4">
    <w:name w:val="footer"/>
    <w:basedOn w:val="a"/>
    <w:link w:val="Char0"/>
    <w:uiPriority w:val="99"/>
    <w:rsid w:val="00BC54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C54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682D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682D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4252</Characters>
  <Application>Microsoft Office Word</Application>
  <DocSecurity>0</DocSecurity>
  <Lines>35</Lines>
  <Paragraphs>9</Paragraphs>
  <ScaleCrop>false</ScaleCrop>
  <Company>芳向电脑工作室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关于印发《安全生产监督管理信息—隐患排查治理数据规范》等4项指导性技术文件（试行）的通知</dc:title>
  <dc:subject/>
  <dc:creator>张建博</dc:creator>
  <cp:keywords/>
  <cp:lastModifiedBy>HQU</cp:lastModifiedBy>
  <cp:revision>2</cp:revision>
  <cp:lastPrinted>2013-11-12T08:47:00Z</cp:lastPrinted>
  <dcterms:created xsi:type="dcterms:W3CDTF">2024-07-01T13:30:00Z</dcterms:created>
  <dcterms:modified xsi:type="dcterms:W3CDTF">2024-07-01T13:30:00Z</dcterms:modified>
</cp:coreProperties>
</file>