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80" w:lineRule="auto"/>
        <w:rPr>
          <w:rFonts w:ascii="Times New Roman" w:cs="Times New Roman" w:eastAsia="Times New Roman" w:hAnsi="Times New Roman"/>
          <w:b w:val="1"/>
          <w:color w:val="1155cc"/>
          <w:sz w:val="22"/>
          <w:szCs w:val="22"/>
        </w:rPr>
      </w:pPr>
      <w:bookmarkStart w:colFirst="0" w:colLast="0" w:name="_23tdbgi6epil" w:id="0"/>
      <w:bookmarkEnd w:id="0"/>
      <w:r w:rsidDel="00000000" w:rsidR="00000000" w:rsidRPr="00000000">
        <w:rPr>
          <w:b w:val="1"/>
          <w:color w:val="1155cc"/>
          <w:sz w:val="34"/>
          <w:szCs w:val="34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E-commerce has become one of the fastest-growing sectors in Pakistan, significantly transforming retail and consumer behavior.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This project aims to analyze “</w:t>
      </w:r>
      <w:r w:rsidDel="00000000" w:rsidR="00000000" w:rsidRPr="00000000">
        <w:rPr>
          <w:b w:val="1"/>
          <w:rtl w:val="0"/>
        </w:rPr>
        <w:t xml:space="preserve">Pakistan’s Largest E-Commerce Dataset</w:t>
      </w:r>
      <w:r w:rsidDel="00000000" w:rsidR="00000000" w:rsidRPr="00000000">
        <w:rPr>
          <w:rtl w:val="0"/>
        </w:rPr>
        <w:t xml:space="preserve">” (available on Kaggle) to uncover meaningful insights about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 xml:space="preserve">customer behavior, sales patterns, product performance, and business growth opportunities.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  <w:t xml:space="preserve">The dataset consists of large-scale transaction-level data, including order details, product information, pricing, delivery.</w:t>
      </w:r>
    </w:p>
    <w:p w:rsidR="00000000" w:rsidDel="00000000" w:rsidP="00000000" w:rsidRDefault="00000000" w:rsidRPr="00000000" w14:paraId="00000007">
      <w:pPr>
        <w:pStyle w:val="Heading2"/>
        <w:spacing w:after="80" w:line="276" w:lineRule="auto"/>
        <w:rPr>
          <w:rFonts w:ascii="Times New Roman" w:cs="Times New Roman" w:eastAsia="Times New Roman" w:hAnsi="Times New Roman"/>
          <w:b w:val="1"/>
          <w:color w:val="1155cc"/>
          <w:sz w:val="34"/>
          <w:szCs w:val="34"/>
        </w:rPr>
      </w:pPr>
      <w:bookmarkStart w:colFirst="0" w:colLast="0" w:name="_9lrbe9bkf83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1155cc"/>
          <w:sz w:val="34"/>
          <w:szCs w:val="34"/>
          <w:rtl w:val="0"/>
        </w:rPr>
        <w:t xml:space="preserve">2. Project Objectives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Identify overall sales trends and revenue performance across months, years, and product categories.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Discover top-selling and least-performing products or categories.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Detect high-demand periods and purchasing cycles over time.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Study order status (delivered, cancelled, returned) and delivery timelines to suggest improvements.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actionable insights for marketing, pricing, and inventory strategies.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color w:val="1155cc"/>
          <w:sz w:val="34"/>
          <w:szCs w:val="34"/>
        </w:rPr>
      </w:pPr>
      <w:bookmarkStart w:colFirst="0" w:colLast="0" w:name="_tqvzf042kxo6" w:id="2"/>
      <w:bookmarkEnd w:id="2"/>
      <w:r w:rsidDel="00000000" w:rsidR="00000000" w:rsidRPr="00000000">
        <w:rPr>
          <w:b w:val="1"/>
          <w:color w:val="1155cc"/>
          <w:sz w:val="34"/>
          <w:szCs w:val="34"/>
          <w:rtl w:val="0"/>
        </w:rPr>
        <w:t xml:space="preserve">3. Key Business Questions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product categories contribute the most to total revenue?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What is the average order value and customer lifetime value?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What are the peak months or seasons for online shopping in Pakistan?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Which courier or fulfillment methods show returns or cancellations?</w:t>
      </w:r>
    </w:p>
    <w:p w:rsidR="00000000" w:rsidDel="00000000" w:rsidP="00000000" w:rsidRDefault="00000000" w:rsidRPr="00000000" w14:paraId="00000013">
      <w:pPr>
        <w:pStyle w:val="Heading2"/>
        <w:rPr>
          <w:b w:val="1"/>
          <w:color w:val="1155cc"/>
        </w:rPr>
      </w:pPr>
      <w:bookmarkStart w:colFirst="0" w:colLast="0" w:name="_vpljw94seh3o" w:id="3"/>
      <w:bookmarkEnd w:id="3"/>
      <w:r w:rsidDel="00000000" w:rsidR="00000000" w:rsidRPr="00000000">
        <w:rPr>
          <w:b w:val="1"/>
          <w:color w:val="1155cc"/>
          <w:rtl w:val="0"/>
        </w:rPr>
        <w:t xml:space="preserve">Integrated Strategic Summary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.9208315487763"/>
        <w:gridCol w:w="3006.930451685171"/>
        <w:gridCol w:w="1746.5687082001782"/>
        <w:gridCol w:w="3021.091819589497"/>
        <w:tblGridChange w:id="0">
          <w:tblGrid>
            <w:gridCol w:w="1250.9208315487763"/>
            <w:gridCol w:w="3006.930451685171"/>
            <w:gridCol w:w="1746.5687082001782"/>
            <w:gridCol w:w="3021.09181958949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Business 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Actionable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new customer influx, low retention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churn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Develop retention programs &amp; loyalty incentives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 discount ratio, trust issues with prepaid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Price sensitivity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Apply CLV-based dynamic pricing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Few returning buyers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 engagement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Personalized re-targeting &amp; communication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 = reliable but costly; Prepaid = high cancellations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 friction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Incentivize prepaid payments; improve refund speed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50% incomplete 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Fulfillment inefficiency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Optimize stock forecasting &amp; courier performance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ind w:left="0" w:right="600" w:firstLine="0"/>
        <w:rPr>
          <w:b w:val="1"/>
          <w:color w:val="1155cc"/>
          <w:sz w:val="34"/>
          <w:szCs w:val="34"/>
        </w:rPr>
      </w:pPr>
      <w:bookmarkStart w:colFirst="0" w:colLast="0" w:name="_vegket5rne0" w:id="4"/>
      <w:bookmarkEnd w:id="4"/>
      <w:r w:rsidDel="00000000" w:rsidR="00000000" w:rsidRPr="00000000">
        <w:rPr>
          <w:b w:val="1"/>
          <w:color w:val="1155cc"/>
          <w:sz w:val="34"/>
          <w:szCs w:val="34"/>
          <w:rtl w:val="0"/>
        </w:rPr>
        <w:t xml:space="preserve">Strategic Insight Summary (Executive Narrative)</w:t>
      </w:r>
    </w:p>
    <w:p w:rsidR="00000000" w:rsidDel="00000000" w:rsidP="00000000" w:rsidRDefault="00000000" w:rsidRPr="00000000" w14:paraId="0000002F">
      <w:pPr>
        <w:spacing w:after="240" w:before="240" w:lineRule="auto"/>
        <w:ind w:left="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Pakistan E-Commerce analysis reveals a </w:t>
      </w:r>
      <w:r w:rsidDel="00000000" w:rsidR="00000000" w:rsidRPr="00000000">
        <w:rPr>
          <w:b w:val="1"/>
          <w:sz w:val="20"/>
          <w:szCs w:val="20"/>
          <w:rtl w:val="0"/>
        </w:rPr>
        <w:t xml:space="preserve">₨ 2.22 billion market</w:t>
      </w:r>
      <w:r w:rsidDel="00000000" w:rsidR="00000000" w:rsidRPr="00000000">
        <w:rPr>
          <w:sz w:val="20"/>
          <w:szCs w:val="20"/>
          <w:rtl w:val="0"/>
        </w:rPr>
        <w:t xml:space="preserve"> with robust transaction activity but significant structural inefficiencies.</w:t>
        <w:br w:type="textWrapping"/>
        <w:t xml:space="preserve"> Revenue is concentrated in </w:t>
      </w:r>
      <w:r w:rsidDel="00000000" w:rsidR="00000000" w:rsidRPr="00000000">
        <w:rPr>
          <w:b w:val="1"/>
          <w:sz w:val="20"/>
          <w:szCs w:val="20"/>
          <w:rtl w:val="0"/>
        </w:rPr>
        <w:t xml:space="preserve">Q1–Q2</w:t>
      </w:r>
      <w:r w:rsidDel="00000000" w:rsidR="00000000" w:rsidRPr="00000000">
        <w:rPr>
          <w:sz w:val="20"/>
          <w:szCs w:val="20"/>
          <w:rtl w:val="0"/>
        </w:rPr>
        <w:t xml:space="preserve">, driven by electronics and appliance sales, while </w:t>
      </w:r>
      <w:r w:rsidDel="00000000" w:rsidR="00000000" w:rsidRPr="00000000">
        <w:rPr>
          <w:b w:val="1"/>
          <w:sz w:val="20"/>
          <w:szCs w:val="20"/>
          <w:rtl w:val="0"/>
        </w:rPr>
        <w:t xml:space="preserve">2018</w:t>
      </w:r>
      <w:r w:rsidDel="00000000" w:rsidR="00000000" w:rsidRPr="00000000">
        <w:rPr>
          <w:sz w:val="20"/>
          <w:szCs w:val="20"/>
          <w:rtl w:val="0"/>
        </w:rPr>
        <w:t xml:space="preserve"> marks a major expansion year.</w:t>
        <w:br w:type="textWrapping"/>
        <w:t xml:space="preserve"> Despite strong acquisition, </w:t>
      </w:r>
      <w:r w:rsidDel="00000000" w:rsidR="00000000" w:rsidRPr="00000000">
        <w:rPr>
          <w:b w:val="1"/>
          <w:sz w:val="20"/>
          <w:szCs w:val="20"/>
          <w:rtl w:val="0"/>
        </w:rPr>
        <w:t xml:space="preserve">returning customer activity remains minimal</w:t>
      </w:r>
      <w:r w:rsidDel="00000000" w:rsidR="00000000" w:rsidRPr="00000000">
        <w:rPr>
          <w:sz w:val="20"/>
          <w:szCs w:val="20"/>
          <w:rtl w:val="0"/>
        </w:rPr>
        <w:t xml:space="preserve">, indicating retention and trust gaps.</w:t>
        <w:br w:type="textWrapping"/>
        <w:t xml:space="preserve"> Payment behavior shows </w:t>
      </w:r>
      <w:r w:rsidDel="00000000" w:rsidR="00000000" w:rsidRPr="00000000">
        <w:rPr>
          <w:b w:val="1"/>
          <w:sz w:val="20"/>
          <w:szCs w:val="20"/>
          <w:rtl w:val="0"/>
        </w:rPr>
        <w:t xml:space="preserve">COD stability but operational inefficiency</w:t>
      </w:r>
      <w:r w:rsidDel="00000000" w:rsidR="00000000" w:rsidRPr="00000000">
        <w:rPr>
          <w:sz w:val="20"/>
          <w:szCs w:val="20"/>
          <w:rtl w:val="0"/>
        </w:rPr>
        <w:t xml:space="preserve">, and prepaid gateways suffer from high cancellation rates, pointing to digital trust challenges.</w:t>
        <w:br w:type="textWrapping"/>
        <w:t xml:space="preserve"> To achieve sustainable growth, the business must transition from </w:t>
      </w:r>
      <w:r w:rsidDel="00000000" w:rsidR="00000000" w:rsidRPr="00000000">
        <w:rPr>
          <w:b w:val="1"/>
          <w:sz w:val="20"/>
          <w:szCs w:val="20"/>
          <w:rtl w:val="0"/>
        </w:rPr>
        <w:t xml:space="preserve">volume-driven</w:t>
      </w:r>
      <w:r w:rsidDel="00000000" w:rsidR="00000000" w:rsidRPr="00000000">
        <w:rPr>
          <w:sz w:val="20"/>
          <w:szCs w:val="20"/>
          <w:rtl w:val="0"/>
        </w:rPr>
        <w:t xml:space="preserve"> to </w:t>
      </w:r>
      <w:r w:rsidDel="00000000" w:rsidR="00000000" w:rsidRPr="00000000">
        <w:rPr>
          <w:b w:val="1"/>
          <w:sz w:val="20"/>
          <w:szCs w:val="20"/>
          <w:rtl w:val="0"/>
        </w:rPr>
        <w:t xml:space="preserve">value-driven strategies</w:t>
      </w:r>
      <w:r w:rsidDel="00000000" w:rsidR="00000000" w:rsidRPr="00000000">
        <w:rPr>
          <w:sz w:val="20"/>
          <w:szCs w:val="20"/>
          <w:rtl w:val="0"/>
        </w:rPr>
        <w:t xml:space="preserve"> — focusing on </w:t>
      </w:r>
      <w:r w:rsidDel="00000000" w:rsidR="00000000" w:rsidRPr="00000000">
        <w:rPr>
          <w:b w:val="1"/>
          <w:sz w:val="20"/>
          <w:szCs w:val="20"/>
          <w:rtl w:val="0"/>
        </w:rPr>
        <w:t xml:space="preserve">loyalty retention, CLV-based pricing, payment reliability, and predictive inventory control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  <w:t xml:space="preserve"> Strengthening operational execution, enhancing post-sale experience, and incentivizing prepaid methods can collectively improve profitability, reduce churn, and stabilize future revenue streams.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