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1B4F72"/>
          <w:sz w:val="56"/>
          <w:szCs w:val="56"/>
        </w:rPr>
        <w:t xml:space="preserve">DSCR LEAD INTELLIGENCE</w:t>
      </w:r>
    </w:p>
    <w:p>
      <w:pPr>
        <w:spacing w:after="100"/>
        <w:jc w:val="center"/>
      </w:pPr>
      <w:r>
        <w:rPr>
          <w:rFonts w:ascii="Arial" w:cs="Arial" w:eastAsia="Arial" w:hAnsi="Arial"/>
          <w:color w:val="2E86C1"/>
          <w:sz w:val="32"/>
          <w:szCs w:val="32"/>
        </w:rPr>
        <w:t xml:space="preserve">Business Plan, P&amp;L Model &amp; GTM Roadmap</w:t>
      </w:r>
    </w:p>
    <w:p>
      <w:pPr>
        <w:pBdr>
          <w:top w:val="single" w:color="85C1E9" w:sz="4" w:space="8"/>
          <w:bottom w:val="single" w:color="85C1E9" w:sz="4" w:space="8"/>
        </w:pBdr>
        <w:spacing w:after="200" w:before="200"/>
        <w:jc w:val="center"/>
      </w:pPr>
      <w:r>
        <w:rPr>
          <w:rFonts w:ascii="Arial" w:cs="Arial" w:eastAsia="Arial" w:hAnsi="Arial"/>
          <w:color w:val="5D6D7E"/>
          <w:sz w:val="24"/>
          <w:szCs w:val="24"/>
        </w:rPr>
        <w:t xml:space="preserve">Prepared for Zack  |  Still Mind Creative  |  March 19, 2026</w:t>
      </w:r>
    </w:p>
    <w:p>
      <w:pPr>
        <w:spacing w:before="400"/>
        <w:jc w:val="center"/>
      </w:pPr>
      <w:r>
        <w:rPr>
          <w:rFonts w:ascii="Arial" w:cs="Arial" w:eastAsia="Arial" w:hAnsi="Arial"/>
          <w:i/>
          <w:iCs/>
          <w:color w:val="5D6D7E"/>
          <w:sz w:val="20"/>
          <w:szCs w:val="20"/>
        </w:rPr>
        <w:t xml:space="preserve">Covers: ATTOM credit optimization, 4-ICP product strategy,
unit economics, phased GTM roadmap, and end-to-end P&amp;L projections.</w:t>
      </w:r>
    </w:p>
    <w:p>
      <w:r>
        <w:br w:type="page"/>
      </w:r>
    </w:p>
    <w:p>
      <w:pPr>
        <w:pStyle w:val="Heading1"/>
      </w:pPr>
      <w:r>
        <w:t xml:space="preserve">1. ATTOM Credit Optimization Strategy</w:t>
      </w:r>
    </w:p>
    <w:p>
      <w:pPr>
        <w:spacing w:after="160" w:line="276"/>
      </w:pPr>
      <w:r>
        <w:rPr>
          <w:rFonts w:ascii="Arial" w:cs="Arial" w:eastAsia="Arial" w:hAnsi="Arial"/>
          <w:color w:val="2C3E50"/>
          <w:sz w:val="22"/>
          <w:szCs w:val="22"/>
        </w:rPr>
        <w:t xml:space="preserve">You have 1,000 ATTOM API calls. Each call returns detailed mortgage data (lender, loan amount, rate, term, due date, title company) for a single property. This is the highest-value enrichment in the entire pipeline — it turns a property record into a financing intelligence dossier. Every credit must count.</w:t>
      </w:r>
    </w:p>
    <w:p>
      <w:pPr>
        <w:pStyle w:val="Heading2"/>
      </w:pPr>
      <w:r>
        <w:t xml:space="preserve">Strategic Allocation</w:t>
      </w:r>
    </w:p>
    <w:p>
      <w:pPr>
        <w:spacing w:after="160" w:line="276"/>
      </w:pPr>
      <w:r>
        <w:rPr>
          <w:rFonts w:ascii="Arial" w:cs="Arial" w:eastAsia="Arial" w:hAnsi="Arial"/>
          <w:color w:val="2C3E50"/>
          <w:sz w:val="22"/>
          <w:szCs w:val="22"/>
        </w:rPr>
        <w:t xml:space="preserve">The research is clear: Florida accounts for 18–22% of national DSCR volume, and we already have 7,537 enriched leads in Palm Beach + Broward. North Carolina is 4–6% of volume but Wake County (Raleigh) is our home market with zero competition. The question is how to split 1,000 credits across markets and lead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2160"/>
        <w:gridCol w:w="220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Allocation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Credits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of Total</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Output</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Wake County Tier 1</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400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40%</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Home market, zero competition, LO partner can test immediately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~260 matched (65% hit rate for single-county targeted calls)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Wake County Tier 2</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200</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20%</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Secondary prospects — still good, expands sample for agent product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~130 matched</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Palm Beach Tier 1</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250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25%</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Already have 7,537 leads; enrich the top 250 for FL demo/sales collateral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~165 matched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Mecklenburg Tier 1</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100</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Charlotte expansion proof — shows portability to buyers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~65 matched</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Demo calls, troubleshooting, ad hoc requests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Buffer</w:t>
            </w:r>
          </w:p>
        </w:tc>
      </w:tr>
    </w:tbl>
    <w:p>
      <w:pPr>
        <w:spacing w:after="160" w:line="276"/>
      </w:pPr>
      <w:r>
        <w:rPr>
          <w:rFonts w:ascii="Arial" w:cs="Arial" w:eastAsia="Arial" w:hAnsi="Arial"/>
          <w:color w:val="2C3E50"/>
          <w:sz w:val="22"/>
          <w:szCs w:val="22"/>
        </w:rPr>
        <w:t xml:space="preserve"/>
      </w:r>
    </w:p>
    <w:p>
      <w:pPr>
        <w:pStyle w:val="Heading3"/>
      </w:pPr>
      <w:r>
        <w:t xml:space="preserve">Why This Split</w:t>
      </w:r>
    </w:p>
    <w:p>
      <w:pPr>
        <w:spacing w:after="160" w:line="276"/>
      </w:pPr>
      <w:r>
        <w:rPr>
          <w:rFonts w:ascii="Arial" w:cs="Arial" w:eastAsia="Arial" w:hAnsi="Arial"/>
          <w:b/>
          <w:bCs/>
          <w:color w:val="2C3E50"/>
          <w:sz w:val="22"/>
          <w:szCs w:val="22"/>
        </w:rPr>
        <w:t xml:space="preserve">60% to Wake County </w:t>
      </w:r>
      <w:r>
        <w:rPr>
          <w:rFonts w:ascii="Arial" w:cs="Arial" w:eastAsia="Arial" w:hAnsi="Arial"/>
          <w:color w:val="2C3E50"/>
          <w:sz w:val="22"/>
          <w:szCs w:val="22"/>
        </w:rPr>
        <w:t xml:space="preserve">because that’s where your LO partner can immediately test the product. You need conversion data before selling to anyone else. 600 credits on Wake County Tier 1 + 2 gives you roughly 390 fully enriched leads with ATTOM mortgage intelligence — enough for your partner to work 50, you to use 25 as sales samples, and still have 300+ as inventory for first customers.</w:t>
      </w:r>
    </w:p>
    <w:p>
      <w:pPr>
        <w:spacing w:after="160" w:line="276"/>
      </w:pPr>
      <w:r>
        <w:rPr>
          <w:rFonts w:ascii="Arial" w:cs="Arial" w:eastAsia="Arial" w:hAnsi="Arial"/>
          <w:b/>
          <w:bCs/>
          <w:color w:val="2C3E50"/>
          <w:sz w:val="22"/>
          <w:szCs w:val="22"/>
        </w:rPr>
        <w:t xml:space="preserve">25% to Palm Beach </w:t>
      </w:r>
      <w:r>
        <w:rPr>
          <w:rFonts w:ascii="Arial" w:cs="Arial" w:eastAsia="Arial" w:hAnsi="Arial"/>
          <w:color w:val="2C3E50"/>
          <w:sz w:val="22"/>
          <w:szCs w:val="22"/>
        </w:rPr>
        <w:t xml:space="preserve">because that pipeline is already built and Frank’s market is stalled. Enriching the top 250 creates a premium FL demo package. If Frank doesn’t activate, these become sales collateral for any FL-based LO or brokerage.</w:t>
      </w:r>
    </w:p>
    <w:p>
      <w:pPr>
        <w:spacing w:after="160" w:line="276"/>
      </w:pPr>
      <w:r>
        <w:rPr>
          <w:rFonts w:ascii="Arial" w:cs="Arial" w:eastAsia="Arial" w:hAnsi="Arial"/>
          <w:b/>
          <w:bCs/>
          <w:color w:val="2C3E50"/>
          <w:sz w:val="22"/>
          <w:szCs w:val="22"/>
        </w:rPr>
        <w:t xml:space="preserve">10% to Mecklenburg (Charlotte) </w:t>
      </w:r>
      <w:r>
        <w:rPr>
          <w:rFonts w:ascii="Arial" w:cs="Arial" w:eastAsia="Arial" w:hAnsi="Arial"/>
          <w:color w:val="2C3E50"/>
          <w:sz w:val="22"/>
          <w:szCs w:val="22"/>
        </w:rPr>
        <w:t xml:space="preserve">to prove portability. When you pitch a branch manager who covers both Raleigh and Charlotte, you can show leads in both markets. That’s the difference between “I have data in one county” and “I cover the Carolina corridor.”</w:t>
      </w:r>
    </w:p>
    <w:p>
      <w:pPr>
        <w:pStyle w:val="Heading3"/>
      </w:pPr>
      <w:r>
        <w:t xml:space="preserve">ATTOM Call Priority Logic</w:t>
      </w:r>
    </w:p>
    <w:p>
      <w:pPr>
        <w:spacing w:after="160" w:line="276"/>
      </w:pPr>
      <w:r>
        <w:rPr>
          <w:rFonts w:ascii="Arial" w:cs="Arial" w:eastAsia="Arial" w:hAnsi="Arial"/>
          <w:color w:val="2C3E50"/>
          <w:sz w:val="22"/>
          <w:szCs w:val="22"/>
        </w:rPr>
        <w:t xml:space="preserve">Not all properties deserve an ATTOM credit. Prioritize calls to maximize the value of each one:</w:t>
      </w:r>
    </w:p>
    <w:p>
      <w:pPr>
        <w:pStyle w:val="ListParagraph"/>
        <w:numPr>
          <w:ilvl w:val="0"/>
          <w:numId w:val="2"/>
        </w:numPr>
        <w:spacing w:after="100" w:line="276"/>
      </w:pPr>
      <w:r>
        <w:rPr>
          <w:rFonts w:ascii="Arial" w:cs="Arial" w:eastAsia="Arial" w:hAnsi="Arial"/>
          <w:b/>
          <w:bCs/>
          <w:color w:val="2C3E50"/>
          <w:sz w:val="22"/>
          <w:szCs w:val="22"/>
        </w:rPr>
        <w:t xml:space="preserve">Priority 1: </w:t>
      </w:r>
      <w:r>
        <w:rPr>
          <w:rFonts w:ascii="Arial" w:cs="Arial" w:eastAsia="Arial" w:hAnsi="Arial"/>
          <w:color w:val="2C3E50"/>
          <w:sz w:val="22"/>
          <w:szCs w:val="22"/>
        </w:rPr>
        <w:t xml:space="preserve">Multi-property owners (3+ properties) with mailing address ≠ property address. These are confirmed investors with portfolio scale.</w:t>
      </w:r>
    </w:p>
    <w:p>
      <w:pPr>
        <w:pStyle w:val="ListParagraph"/>
        <w:numPr>
          <w:ilvl w:val="0"/>
          <w:numId w:val="2"/>
        </w:numPr>
        <w:spacing w:after="100" w:line="276"/>
      </w:pPr>
      <w:r>
        <w:rPr>
          <w:rFonts w:ascii="Arial" w:cs="Arial" w:eastAsia="Arial" w:hAnsi="Arial"/>
          <w:b/>
          <w:bCs/>
          <w:color w:val="2C3E50"/>
          <w:sz w:val="22"/>
          <w:szCs w:val="22"/>
        </w:rPr>
        <w:t xml:space="preserve">Priority 2: </w:t>
      </w:r>
      <w:r>
        <w:rPr>
          <w:rFonts w:ascii="Arial" w:cs="Arial" w:eastAsia="Arial" w:hAnsi="Arial"/>
          <w:color w:val="2C3E50"/>
          <w:sz w:val="22"/>
          <w:szCs w:val="22"/>
        </w:rPr>
        <w:t xml:space="preserve">LLC/Trust/Corp-owned properties with recent acquisitions (last 24 months). Active buyers who are likely still growing.</w:t>
      </w:r>
    </w:p>
    <w:p>
      <w:pPr>
        <w:pStyle w:val="ListParagraph"/>
        <w:numPr>
          <w:ilvl w:val="0"/>
          <w:numId w:val="2"/>
        </w:numPr>
        <w:spacing w:after="100" w:line="276"/>
      </w:pPr>
      <w:r>
        <w:rPr>
          <w:rFonts w:ascii="Arial" w:cs="Arial" w:eastAsia="Arial" w:hAnsi="Arial"/>
          <w:b/>
          <w:bCs/>
          <w:color w:val="2C3E50"/>
          <w:sz w:val="22"/>
          <w:szCs w:val="22"/>
        </w:rPr>
        <w:t xml:space="preserve">Priority 3: </w:t>
      </w:r>
      <w:r>
        <w:rPr>
          <w:rFonts w:ascii="Arial" w:cs="Arial" w:eastAsia="Arial" w:hAnsi="Arial"/>
          <w:color w:val="2C3E50"/>
          <w:sz w:val="22"/>
          <w:szCs w:val="22"/>
        </w:rPr>
        <w:t xml:space="preserve">Single-property LLC owners with high assessed value ($300K+). Possible DSCR refi candidates.</w:t>
      </w:r>
    </w:p>
    <w:p>
      <w:pPr>
        <w:pStyle w:val="ListParagraph"/>
        <w:numPr>
          <w:ilvl w:val="0"/>
          <w:numId w:val="2"/>
        </w:numPr>
        <w:spacing w:after="100" w:line="276"/>
      </w:pPr>
      <w:r>
        <w:rPr>
          <w:rFonts w:ascii="Arial" w:cs="Arial" w:eastAsia="Arial" w:hAnsi="Arial"/>
          <w:b/>
          <w:bCs/>
          <w:color w:val="2C3E50"/>
          <w:sz w:val="22"/>
          <w:szCs w:val="22"/>
        </w:rPr>
        <w:t xml:space="preserve">Skip: </w:t>
      </w:r>
      <w:r>
        <w:rPr>
          <w:rFonts w:ascii="Arial" w:cs="Arial" w:eastAsia="Arial" w:hAnsi="Arial"/>
          <w:color w:val="2C3E50"/>
          <w:sz w:val="22"/>
          <w:szCs w:val="22"/>
        </w:rPr>
        <w:t xml:space="preserve">Owner-occupied (homestead), properties under $150K assessed value, and any properties already enriched via other sources.</w:t>
      </w:r>
    </w:p>
    <w:p>
      <w:pPr>
        <w:spacing w:after="160" w:line="276"/>
      </w:pPr>
      <w:r>
        <w:rPr>
          <w:rFonts w:ascii="Arial" w:cs="Arial" w:eastAsia="Arial" w:hAnsi="Arial"/>
          <w:b/>
          <w:bCs/>
          <w:color w:val="2C3E50"/>
          <w:sz w:val="22"/>
          <w:szCs w:val="22"/>
        </w:rPr>
        <w:t xml:space="preserve">Estimated total cost: </w:t>
      </w:r>
      <w:r>
        <w:rPr>
          <w:rFonts w:ascii="Arial" w:cs="Arial" w:eastAsia="Arial" w:hAnsi="Arial"/>
          <w:color w:val="2C3E50"/>
          <w:sz w:val="22"/>
          <w:szCs w:val="22"/>
        </w:rPr>
        <w:t xml:space="preserve">$0 (credits are free on trial). Estimated match rate: 60–70%. Expected output: ~620 properties with full mortgage intelligence from 950 calls.</w:t>
      </w:r>
    </w:p>
    <w:p>
      <w:pPr>
        <w:pBdr>
          <w:bottom w:val="single" w:color="85C1E9" w:sz="4" w:space="1"/>
        </w:pBdr>
        <w:spacing w:after="200" w:before="200"/>
      </w:pPr>
    </w:p>
    <w:p>
      <w:pPr>
        <w:pStyle w:val="Heading1"/>
      </w:pPr>
      <w:r>
        <w:t xml:space="preserve">2. Product Specifications by ICP</w:t>
      </w:r>
    </w:p>
    <w:p>
      <w:pPr>
        <w:spacing w:after="160" w:line="276"/>
      </w:pPr>
      <w:r>
        <w:rPr>
          <w:rFonts w:ascii="Arial" w:cs="Arial" w:eastAsia="Arial" w:hAnsi="Arial"/>
          <w:color w:val="2C3E50"/>
          <w:sz w:val="22"/>
          <w:szCs w:val="22"/>
        </w:rPr>
        <w:t xml:space="preserve">Each ICP gets a different product built from the same underlying data. Here is exactly what each buyer receives, how it’s delivered, and what it costs them.</w:t>
      </w:r>
    </w:p>
    <w:p>
      <w:pPr>
        <w:pStyle w:val="Heading2"/>
      </w:pPr>
      <w:r>
        <w:t xml:space="preserve">Product A: LO Intelligence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Attribute</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Target Buyer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Individual loan officer originating DSCR loans at a brokerage or bank</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What They Get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Monthly batch of exclusive, scored leads with full investor dossier + CRM-ready CSV</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Deliverable Format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(1) CRM CSV file — all 157 fields, import-ready for any CRM. (2) PDF tear sheet packet — one page per lead with portfolio summary, financing intel, outreach angle. (3) One-page "How to Work These Leads" guide.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Key Fields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Owner name, entity, property count, total portfolio value, current lender (ATTOM), loan amount, estimated rate, loan maturity date, estimated equity, cash-out potential at 75% LTV, DSCR score, 2 phones (validated + type), 2 emails (validated), suggested outreach angle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Exclusivity</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County-exclusive. One LO per county per tier.</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Refresh Cadence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Monthly — new property filings, updated scoring, fresh skip traces</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400"/>
        <w:gridCol w:w="1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Leads/Mo</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Price/Lead</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Monthly</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Your COGS</w:t>
            </w:r>
          </w:p>
        </w:tc>
        <w:tc>
          <w:tcPr>
            <w:tcW w:type="dxa" w:w="1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Margin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Starter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25</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$500</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$2.50</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99.5%</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Growth</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50</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$15</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$750</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$5.00</w:t>
            </w:r>
          </w:p>
        </w:tc>
        <w:tc>
          <w:tcPr>
            <w:tcW w:type="dxa" w:w="1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99.3%</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Pro</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$12</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$1,200</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99.2%</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ROI pitch: </w:t>
      </w:r>
      <w:r>
        <w:rPr>
          <w:rFonts w:ascii="Arial" w:cs="Arial" w:eastAsia="Arial" w:hAnsi="Arial"/>
          <w:color w:val="2C3E50"/>
          <w:sz w:val="22"/>
          <w:szCs w:val="22"/>
        </w:rPr>
        <w:t xml:space="preserve">At $500/month, the LO needs to close ONE DSCR deal per year to see 7–10x ROI. Average DSCR loan = $385K, 1% origination fee = $3,850 commission. One close pays for 7+ months of leads.</w:t>
      </w:r>
    </w:p>
    <w:p>
      <w:pPr>
        <w:spacing w:after="160" w:line="276"/>
      </w:pPr>
      <w:r>
        <w:rPr>
          <w:rFonts w:ascii="Arial" w:cs="Arial" w:eastAsia="Arial" w:hAnsi="Arial"/>
          <w:b/>
          <w:bCs/>
          <w:color w:val="2C3E50"/>
          <w:sz w:val="22"/>
          <w:szCs w:val="22"/>
        </w:rPr>
        <w:t xml:space="preserve">Upsell to RE partners: </w:t>
      </w:r>
      <w:r>
        <w:rPr>
          <w:rFonts w:ascii="Arial" w:cs="Arial" w:eastAsia="Arial" w:hAnsi="Arial"/>
          <w:color w:val="2C3E50"/>
          <w:sz w:val="22"/>
          <w:szCs w:val="22"/>
        </w:rPr>
        <w:t xml:space="preserve">Every investor lead includes portfolio acquisition data. The LO can hand this to their RE agent partners as a prospecting tool: “This investor just bought their 4th property — they’ll need an agent for #5.” This makes the LO’s referral relationships stickier AND creates a natural path to sell the Agent product (Product C).</w:t>
      </w:r>
    </w:p>
    <w:p>
      <w:pPr>
        <w:pStyle w:val="Heading2"/>
      </w:pPr>
      <w:r>
        <w:t xml:space="preserve">Product B: Branch Manager Team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Attribute</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Target Buyer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Branch manager or sales director at a mortgage brokerage with 5–30 LOs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What They Get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Bulk monthly lead feed covering their metro area, pre-segmented by LO territory, plus monthly pipeline report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Deliverable Format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(1) Google Sheet or Airtable base with views per LO/territory. (2) Monthly summary report: new leads added, scoring distribution, market activity. (3) Tear sheet packet (same as LO product). (4) Outreach playbook for team distribution.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Key Differentiator</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This is a recruiting/retention tool. Branch manager can tell prospective LOs: "Join us and you get access to an exclusive investor lead pipeline that no other branch has."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Exclusivity</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Metro-exclusive. One branch per MSA.</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Leads/Mo</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Monthly</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Per-LO Equiv.</w:t>
            </w:r>
          </w:p>
        </w:tc>
        <w:tc>
          <w:tcPr>
            <w:tcW w:type="dxa" w:w="16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Margin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Small Branch (5–10 LOs)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150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$1,500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$150–300/LO</w:t>
            </w:r>
          </w:p>
        </w:tc>
        <w:tc>
          <w:tcPr>
            <w:tcW w:type="dxa" w:w="1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Mid Branch (10–20 LOs)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300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$2,500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$125–250/LO</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Large Branch (20+ LOs)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$4,000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$130–200/LO</w:t>
            </w:r>
          </w:p>
        </w:tc>
        <w:tc>
          <w:tcPr>
            <w:tcW w:type="dxa" w:w="1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Sales motion: </w:t>
      </w:r>
      <w:r>
        <w:rPr>
          <w:rFonts w:ascii="Arial" w:cs="Arial" w:eastAsia="Arial" w:hAnsi="Arial"/>
          <w:color w:val="2C3E50"/>
          <w:sz w:val="22"/>
          <w:szCs w:val="22"/>
        </w:rPr>
        <w:t xml:space="preserve">Pitch the branch manager, not the individual LOs. One conversation, one contract, 5–30 end users. Frame it as a competitive advantage: “Your LOs are buying garbage leads from Zillow at $300/month each. I can give your entire branch exclusive investor intelligence for less than what two LOs spend on Zillow.”</w:t>
      </w:r>
    </w:p>
    <w:p>
      <w:pPr>
        <w:pStyle w:val="Heading2"/>
      </w:pPr>
      <w:r>
        <w:t xml:space="preserve">Product C: Agent Investor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Attribute</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Target Buyer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Real estate agents who work with or want to work with investment property buyers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What They Get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Monthly list of active investors in their market, ranked by acquisition velocity and portfolio growth signals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Deliverable Format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(1) CRM CSV — investor-focused fields only (no mortgage/DSCR data). (2) Investor profile cards (simplified tear sheet — portfolio size, purchase velocity, property types, contact info, approach angle). (3) "Working Investor Clients" playbook.</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Key Fields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Owner name, entity, portfolio count, property types owned, purchases last 12/24 months, average purchase price, geographic focus, estimated portfolio value, preferred property type, phones + emails, suggested approach</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What’s REMOVED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All DSCR-specific fields (lender, loan amount, rate, refi signals, DSCR score). Agents don’t need this and it avoids any RESPA concern about agents steering financing.</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Leads/Mo</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Monthly</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 Lead</w:t>
            </w:r>
          </w:p>
        </w:tc>
        <w:tc>
          <w:tcPr>
            <w:tcW w:type="dxa" w:w="16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Margin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Starter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$300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$12</w:t>
            </w:r>
          </w:p>
        </w:tc>
        <w:tc>
          <w:tcPr>
            <w:tcW w:type="dxa" w:w="1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Growth</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$500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Why lower price than LO product: </w:t>
      </w:r>
      <w:r>
        <w:rPr>
          <w:rFonts w:ascii="Arial" w:cs="Arial" w:eastAsia="Arial" w:hAnsi="Arial"/>
          <w:color w:val="2C3E50"/>
          <w:sz w:val="22"/>
          <w:szCs w:val="22"/>
        </w:rPr>
        <w:t xml:space="preserve">Agent commissions per transaction are lower than LO commissions on DSCR loans ($8K–15K on a $400K sale vs $3,850–5,000 on DSCR origination). But agents benefit from repeat transactions — an active investor may buy 2–4 properties per year. One investor client relationship is worth $20K–60K/year to an agent. The ROI is still massive.</w:t>
      </w:r>
    </w:p>
    <w:p>
      <w:pPr>
        <w:spacing w:after="160" w:line="276"/>
      </w:pPr>
      <w:r>
        <w:rPr>
          <w:rFonts w:ascii="Arial" w:cs="Arial" w:eastAsia="Arial" w:hAnsi="Arial"/>
          <w:b/>
          <w:bCs/>
          <w:color w:val="2C3E50"/>
          <w:sz w:val="22"/>
          <w:szCs w:val="22"/>
        </w:rPr>
        <w:t xml:space="preserve">Network effect: </w:t>
      </w:r>
      <w:r>
        <w:rPr>
          <w:rFonts w:ascii="Arial" w:cs="Arial" w:eastAsia="Arial" w:hAnsi="Arial"/>
          <w:color w:val="2C3E50"/>
          <w:sz w:val="22"/>
          <w:szCs w:val="22"/>
        </w:rPr>
        <w:t xml:space="preserve">When an LO customer and an agent customer both serve the same investor, both win. The LO funds the DSCR loan, the agent found the property (or listed one), and both came from your data. This creates cross-referral stickiness that makes neither one want to cancel.</w:t>
      </w:r>
    </w:p>
    <w:p>
      <w:pPr>
        <w:pStyle w:val="Heading2"/>
      </w:pPr>
      <w:r>
        <w:t xml:space="preserve">Product D: Broker Office Feed</w:t>
      </w:r>
    </w:p>
    <w:p>
      <w:pPr>
        <w:spacing w:after="160" w:line="276"/>
      </w:pPr>
      <w:r>
        <w:rPr>
          <w:rFonts w:ascii="Arial" w:cs="Arial" w:eastAsia="Arial" w:hAnsi="Arial"/>
          <w:b/>
          <w:bCs/>
          <w:color w:val="2C3E50"/>
          <w:sz w:val="22"/>
          <w:szCs w:val="22"/>
        </w:rPr>
        <w:t xml:space="preserve">Identical to the Agent product but sold as office-wide access </w:t>
      </w:r>
      <w:r>
        <w:rPr>
          <w:rFonts w:ascii="Arial" w:cs="Arial" w:eastAsia="Arial" w:hAnsi="Arial"/>
          <w:color w:val="2C3E50"/>
          <w:sz w:val="22"/>
          <w:szCs w:val="22"/>
        </w:rPr>
        <w:t xml:space="preserve">to a real estate broker or team lead. Same data, same format, but the broker distributes leads to their agents the same way a branch manager distributes to 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Leads/Mo</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Monthly</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Agents Covered</w:t>
            </w:r>
          </w:p>
        </w:tc>
        <w:tc>
          <w:tcPr>
            <w:tcW w:type="dxa" w:w="16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Margin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Small Office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$800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5–10</w:t>
            </w:r>
          </w:p>
        </w:tc>
        <w:tc>
          <w:tcPr>
            <w:tcW w:type="dxa" w:w="16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Large Office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250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$1,500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10–25</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99%+</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Compliance note for brokers: </w:t>
      </w:r>
      <w:r>
        <w:rPr>
          <w:rFonts w:ascii="Arial" w:cs="Arial" w:eastAsia="Arial" w:hAnsi="Arial"/>
          <w:color w:val="2C3E50"/>
          <w:sz w:val="22"/>
          <w:szCs w:val="22"/>
        </w:rPr>
        <w:t xml:space="preserve">RE brokers may want a data processing agreement or vendor compliance review. Your compliance one-pager covers this, but be prepared to sign a simple DPA stating that data is sourced from public records, contact info is skip-traced from commercial databases, and no consumer report data is included.</w:t>
      </w:r>
    </w:p>
    <w:p>
      <w:pPr>
        <w:pBdr>
          <w:bottom w:val="single" w:color="85C1E9" w:sz="4" w:space="1"/>
        </w:pBdr>
        <w:spacing w:after="200" w:before="200"/>
      </w:pPr>
    </w:p>
    <w:p>
      <w:pPr>
        <w:pStyle w:val="Heading1"/>
      </w:pPr>
      <w:r>
        <w:t xml:space="preserve">3. Profit &amp; Loss Model</w:t>
      </w:r>
    </w:p>
    <w:p>
      <w:pPr>
        <w:pStyle w:val="Heading2"/>
      </w:pPr>
      <w:r>
        <w:t xml:space="preserve">Cost Structure (Monthly,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 Item</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 Lead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Monthly (500 leads)</w:t>
            </w:r>
          </w:p>
        </w:tc>
        <w:tc>
          <w:tcPr>
            <w:tcW w:type="dxa" w:w="2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Property data (state records)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Free public records (FL FDOR, NC OneMap)</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Skip trace (Tracerfy)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$0.02</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w:t>
            </w:r>
          </w:p>
        </w:tc>
        <w:tc>
          <w:tcPr>
            <w:tcW w:type="dxa" w:w="2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Per match only, ~45% hit rate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Email validation (MillionVerifier)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$0.0025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$1.25</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Credits never expire</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Phone validation (Twilio v2)</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$0.008</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$4</w:t>
            </w:r>
          </w:p>
        </w:tc>
        <w:tc>
          <w:tcPr>
            <w:tcW w:type="dxa" w:w="2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Carrier type lookup</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DNC scrub (FTC registry)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Free for first 5 area codes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ATTOM mortgage data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$0.017–$0.10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$8.50–50</w:t>
            </w:r>
          </w:p>
        </w:tc>
        <w:tc>
          <w:tcPr>
            <w:tcW w:type="dxa" w:w="2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Depends on tier; trial credits free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Pipeline hosting/tools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$0–20</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GitHub, local compute</w:t>
            </w:r>
          </w:p>
        </w:tc>
      </w:tr>
      <w:tr>
        <w:tc>
          <w:tcPr>
            <w:tcW w:type="dxa" w:w="35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TOTAL COGS</w:t>
            </w:r>
          </w:p>
        </w:tc>
        <w:tc>
          <w:tcPr>
            <w:tcW w:type="dxa" w:w="1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$0.03–$0.13</w:t>
            </w:r>
          </w:p>
        </w:tc>
        <w:tc>
          <w:tcPr>
            <w:tcW w:type="dxa" w:w="1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$24–85</w:t>
            </w:r>
          </w:p>
        </w:tc>
        <w:tc>
          <w:tcPr>
            <w:tcW w:type="dxa" w:w="22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~$0.05 average blended cost</w:t>
            </w:r>
          </w:p>
        </w:tc>
      </w:tr>
    </w:tbl>
    <w:p>
      <w:pPr>
        <w:spacing w:after="160" w:line="276"/>
      </w:pPr>
      <w:r>
        <w:rPr>
          <w:rFonts w:ascii="Arial" w:cs="Arial" w:eastAsia="Arial" w:hAnsi="Arial"/>
          <w:color w:val="2C3E50"/>
          <w:sz w:val="22"/>
          <w:szCs w:val="22"/>
        </w:rPr>
        <w:t xml:space="preserve"/>
      </w:r>
    </w:p>
    <w:p>
      <w:pPr>
        <w:pStyle w:val="Heading2"/>
      </w:pPr>
      <w:r>
        <w:t xml:space="preserve">Revenue Scenarios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360"/>
        <w:gridCol w:w="15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 Cust.</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Branch</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Agent</w:t>
            </w:r>
          </w:p>
        </w:tc>
        <w:tc>
          <w:tcPr>
            <w:tcW w:type="dxa" w:w="1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Broker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Monthly Rev</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Month 1–2</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3 @ $500</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$1,500</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Month 3–4</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 @ $500</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 @ $1,500</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3 @ $300</w:t>
            </w:r>
          </w:p>
        </w:tc>
        <w:tc>
          <w:tcPr>
            <w:tcW w:type="dxa" w:w="1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$4,900</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Month 5–6</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8 @ $600</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 @ $2,000</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5 @ $400</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 @ $800</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$11,600</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Month 9–12</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12 @ $650</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3 @ $2,500</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10 @ $400</w:t>
            </w:r>
          </w:p>
        </w:tc>
        <w:tc>
          <w:tcPr>
            <w:tcW w:type="dxa" w:w="1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 @ $1,200</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$23,700</w:t>
            </w:r>
          </w:p>
        </w:tc>
      </w:tr>
    </w:tbl>
    <w:p>
      <w:pPr>
        <w:spacing w:after="160" w:line="276"/>
      </w:pPr>
      <w:r>
        <w:rPr>
          <w:rFonts w:ascii="Arial" w:cs="Arial" w:eastAsia="Arial" w:hAnsi="Arial"/>
          <w:color w:val="2C3E50"/>
          <w:sz w:val="22"/>
          <w:szCs w:val="22"/>
        </w:rPr>
        <w:t xml:space="preserve"/>
      </w:r>
    </w:p>
    <w:p>
      <w:pPr>
        <w:pStyle w:val="Heading2"/>
      </w:pPr>
      <w:r>
        <w:t xml:space="preserve">P&amp;L Summary — Year 1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Line Item</w:t>
            </w:r>
          </w:p>
        </w:tc>
        <w:tc>
          <w:tcPr>
            <w:tcW w:type="dxa" w:w="2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Conservative</w:t>
            </w:r>
          </w:p>
        </w:tc>
        <w:tc>
          <w:tcPr>
            <w:tcW w:type="dxa" w:w="2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Gross Revenue</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$72,000</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$120,000</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COGS (enrichment + data)</w:t>
            </w:r>
          </w:p>
        </w:tc>
        <w:tc>
          <w:tcPr>
            <w:tcW w:type="dxa" w:w="2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($1,200)</w:t>
            </w:r>
          </w:p>
        </w:tc>
        <w:tc>
          <w:tcPr>
            <w:tcW w:type="dxa" w:w="2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($2,400)</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Gross Profit</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$70,800</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$117,600</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Tools/SaaS (CRM, email, hosting)</w:t>
            </w:r>
          </w:p>
        </w:tc>
        <w:tc>
          <w:tcPr>
            <w:tcW w:type="dxa" w:w="2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($2,400)</w:t>
            </w:r>
          </w:p>
        </w:tc>
        <w:tc>
          <w:tcPr>
            <w:tcW w:type="dxa" w:w="2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($3,600)</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ATTOM subscription (if needed post-trial)</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($1,140)</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($2,400)</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Marketing/sales (LinkedIn, landing page)</w:t>
            </w:r>
          </w:p>
        </w:tc>
        <w:tc>
          <w:tcPr>
            <w:tcW w:type="dxa" w:w="2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($1,200)</w:t>
            </w:r>
          </w:p>
        </w:tc>
        <w:tc>
          <w:tcPr>
            <w:tcW w:type="dxa" w:w="2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($2,400)</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Legal (LLC formation, compliance review)</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($1,500)</w:t>
            </w:r>
          </w:p>
        </w:tc>
        <w:tc>
          <w:tcPr>
            <w:tcW w:type="dxa" w:w="2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($1,500)</w:t>
            </w:r>
          </w:p>
        </w:tc>
      </w:tr>
      <w:tr>
        <w:tc>
          <w:tcPr>
            <w:tcW w:type="dxa" w:w="4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NET PROFIT</w:t>
            </w:r>
          </w:p>
        </w:tc>
        <w:tc>
          <w:tcPr>
            <w:tcW w:type="dxa" w:w="26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$64,560</w:t>
            </w:r>
          </w:p>
        </w:tc>
        <w:tc>
          <w:tcPr>
            <w:tcW w:type="dxa" w:w="26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$107,700</w:t>
            </w:r>
          </w:p>
        </w:tc>
      </w:tr>
      <w:tr>
        <w:tc>
          <w:tcPr>
            <w:tcW w:type="dxa" w:w="4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Net Margin</w:t>
            </w:r>
          </w:p>
        </w:tc>
        <w:tc>
          <w:tcPr>
            <w:tcW w:type="dxa" w:w="26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89.7%</w:t>
            </w:r>
          </w:p>
        </w:tc>
        <w:tc>
          <w:tcPr>
            <w:tcW w:type="dxa" w:w="26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89.8%</w:t>
            </w:r>
          </w:p>
        </w:tc>
      </w:tr>
    </w:tbl>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The margin is this high because the business is almost pure intellectual property. </w:t>
      </w:r>
      <w:r>
        <w:rPr>
          <w:rFonts w:ascii="Arial" w:cs="Arial" w:eastAsia="Arial" w:hAnsi="Arial"/>
          <w:color w:val="2C3E50"/>
          <w:sz w:val="22"/>
          <w:szCs w:val="22"/>
        </w:rPr>
        <w:t xml:space="preserve">The data is free (public records). The enrichment is pennies. The value is in the assembly, scoring, and presentation — which is your pipeline code and market expertise. There is no inventory, no warehouse, no manufacturing. Every dollar of revenue after the first $100/month in tooling costs is profit.</w:t>
      </w:r>
    </w:p>
    <w:p>
      <w:pPr>
        <w:pBdr>
          <w:bottom w:val="single" w:color="85C1E9" w:sz="4" w:space="1"/>
        </w:pBdr>
        <w:spacing w:after="200" w:before="200"/>
      </w:pPr>
    </w:p>
    <w:p>
      <w:pPr>
        <w:pStyle w:val="Heading1"/>
      </w:pPr>
      <w:r>
        <w:t xml:space="preserve">4. End-to-End Data Process</w:t>
      </w:r>
    </w:p>
    <w:p>
      <w:pPr>
        <w:spacing w:after="160" w:line="276"/>
      </w:pPr>
      <w:r>
        <w:rPr>
          <w:rFonts w:ascii="Arial" w:cs="Arial" w:eastAsia="Arial" w:hAnsi="Arial"/>
          <w:color w:val="2C3E50"/>
          <w:sz w:val="22"/>
          <w:szCs w:val="22"/>
        </w:rPr>
        <w:t xml:space="preserve">Here is exactly what happens from raw public record to delivered product, step by step.</w:t>
      </w:r>
    </w:p>
    <w:p>
      <w:pPr>
        <w:pStyle w:val="Heading2"/>
      </w:pPr>
      <w:r>
        <w:t xml:space="preserve">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1800"/>
        <w:gridCol w:w="1660"/>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Stage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Happens</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Source</w:t>
            </w:r>
          </w:p>
        </w:tc>
        <w:tc>
          <w:tcPr>
            <w:tcW w:type="dxa" w:w="1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Download Property Data</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Pull all property records for target counties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FDOR (FL), OneMap (NC)</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Free</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02</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Parse &amp; Standardize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Normalize names, addresses, owner types, property classifications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Internal</w:t>
            </w:r>
          </w:p>
        </w:tc>
        <w:tc>
          <w:tcPr>
            <w:tcW w:type="dxa" w:w="1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Free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Score &amp; Filter by ICP</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Apply 11-segment ICP scoring (0–100), filter to investment properties only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scoring_weights.json</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Free</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04</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Entity Resolution</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Match LLC/Corp/Trust names to registered agents via SoS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SunBiz (FL), NC SoS</w:t>
            </w:r>
          </w:p>
        </w:tc>
        <w:tc>
          <w:tcPr>
            <w:tcW w:type="dxa" w:w="1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Free (FL), TBD (NC)</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Contact Enrichment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Skip trace to get phone + email for each owner/agent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Tracerfy</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$0.02/match</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06</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Validate Contacts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Email validation + phone type classification (cell/landline/VoIP)</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MillionVerifier + Twilio</w:t>
            </w:r>
          </w:p>
        </w:tc>
        <w:tc>
          <w:tcPr>
            <w:tcW w:type="dxa" w:w="1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$0.01/lead</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07</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DNC Scrub</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Remove numbers on federal DNC + state lists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FTC Registry</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Free</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ATTOM Mortgage Enrich</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Add lender, loan amount, rate, term, due date, title company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ATTOM API</w:t>
            </w:r>
          </w:p>
        </w:tc>
        <w:tc>
          <w:tcPr>
            <w:tcW w:type="dxa" w:w="1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$0.017–$0.10</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Purchase History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Transaction history, acquisition velocity, flip detection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County records</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Free</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Rental Estimates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HUD Fair Market Rent for DSCR ratio estimation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HUD FMR</w:t>
            </w:r>
          </w:p>
        </w:tc>
        <w:tc>
          <w:tcPr>
            <w:tcW w:type="dxa" w:w="1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Free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14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Wealth Signals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FEC political donations, nonprofit connections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FEC API, 990 data</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Free</w:t>
            </w:r>
          </w:p>
        </w:tc>
      </w:tr>
      <w:tr>
        <w:tc>
          <w:tcPr>
            <w:tcW w:type="dxa" w:w="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color w:val="2C3E50"/>
                <w:sz w:val="20"/>
                <w:szCs w:val="20"/>
              </w:rPr>
              <w:t xml:space="preserve">20</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Build Dossier</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Compile all fields into 157-column master + PDF tear sheets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Internal</w:t>
            </w:r>
          </w:p>
        </w:tc>
        <w:tc>
          <w:tcPr>
            <w:tcW w:type="dxa" w:w="1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Free</w:t>
            </w:r>
          </w:p>
        </w:tc>
      </w:tr>
    </w:tbl>
    <w:p>
      <w:pPr>
        <w:spacing w:after="160" w:line="276"/>
      </w:pPr>
      <w:r>
        <w:rPr>
          <w:rFonts w:ascii="Arial" w:cs="Arial" w:eastAsia="Arial" w:hAnsi="Arial"/>
          <w:color w:val="2C3E50"/>
          <w:sz w:val="22"/>
          <w:szCs w:val="22"/>
        </w:rPr>
        <w:t xml:space="preserve"/>
      </w:r>
    </w:p>
    <w:p>
      <w:pPr>
        <w:pStyle w:val="Heading2"/>
      </w:pPr>
      <w:r>
        <w:t xml:space="preserve">Output: What the Customer Receives</w:t>
      </w:r>
    </w:p>
    <w:p>
      <w:pPr>
        <w:spacing w:after="160" w:line="276"/>
      </w:pPr>
      <w:r>
        <w:rPr>
          <w:rFonts w:ascii="Arial" w:cs="Arial" w:eastAsia="Arial" w:hAnsi="Arial"/>
          <w:b/>
          <w:bCs/>
          <w:color w:val="2C3E50"/>
          <w:sz w:val="22"/>
          <w:szCs w:val="22"/>
        </w:rPr>
        <w:t xml:space="preserve">CRM CSV: </w:t>
      </w:r>
      <w:r>
        <w:rPr>
          <w:rFonts w:ascii="Arial" w:cs="Arial" w:eastAsia="Arial" w:hAnsi="Arial"/>
          <w:color w:val="2C3E50"/>
          <w:sz w:val="22"/>
          <w:szCs w:val="22"/>
        </w:rPr>
        <w:t xml:space="preserve">Import-ready file with all relevant fields for their ICP. Column headers are clean, human-readable, and mapped to common CRM field conventions (HubSpot, Salesforce, GoHighLevel, Follow Up Boss).</w:t>
      </w:r>
    </w:p>
    <w:p>
      <w:pPr>
        <w:spacing w:after="160" w:line="276"/>
      </w:pPr>
      <w:r>
        <w:rPr>
          <w:rFonts w:ascii="Arial" w:cs="Arial" w:eastAsia="Arial" w:hAnsi="Arial"/>
          <w:b/>
          <w:bCs/>
          <w:color w:val="2C3E50"/>
          <w:sz w:val="22"/>
          <w:szCs w:val="22"/>
        </w:rPr>
        <w:t xml:space="preserve">PDF Tear Sheet Packet: </w:t>
      </w:r>
      <w:r>
        <w:rPr>
          <w:rFonts w:ascii="Arial" w:cs="Arial" w:eastAsia="Arial" w:hAnsi="Arial"/>
          <w:color w:val="2C3E50"/>
          <w:sz w:val="22"/>
          <w:szCs w:val="22"/>
        </w:rPr>
        <w:t xml:space="preserve">One page per lead. Clean layout showing: investor name, entity (if LLC), portfolio summary (# properties, total value, property types), current financing (lender, estimated rate, maturity date, equity), contact info (phone + email with validation status), and a 2–3 sentence suggested outreach angle based on their specific signals.</w:t>
      </w:r>
    </w:p>
    <w:p>
      <w:pPr>
        <w:spacing w:after="160" w:line="276"/>
      </w:pPr>
      <w:r>
        <w:rPr>
          <w:rFonts w:ascii="Arial" w:cs="Arial" w:eastAsia="Arial" w:hAnsi="Arial"/>
          <w:b/>
          <w:bCs/>
          <w:color w:val="2C3E50"/>
          <w:sz w:val="22"/>
          <w:szCs w:val="22"/>
        </w:rPr>
        <w:t xml:space="preserve">Outreach Playbook: </w:t>
      </w:r>
      <w:r>
        <w:rPr>
          <w:rFonts w:ascii="Arial" w:cs="Arial" w:eastAsia="Arial" w:hAnsi="Arial"/>
          <w:color w:val="2C3E50"/>
          <w:sz w:val="22"/>
          <w:szCs w:val="22"/>
        </w:rPr>
        <w:t xml:space="preserve">One-page guide covering how to approach these leads: what to say in the first 15 seconds of a call, email template, LinkedIn message template, and follow-up cadence. Customized per ICP (LO version focuses on DSCR pitch, Agent version focuses on portfolio growth conversation).</w:t>
      </w:r>
    </w:p>
    <w:p>
      <w:pPr>
        <w:pBdr>
          <w:bottom w:val="single" w:color="85C1E9" w:sz="4" w:space="1"/>
        </w:pBdr>
        <w:spacing w:after="200" w:before="200"/>
      </w:pPr>
    </w:p>
    <w:p>
      <w:pPr>
        <w:pStyle w:val="Heading1"/>
      </w:pPr>
      <w:r>
        <w:t xml:space="preserve">5. Phased GTM Roadmap</w:t>
      </w:r>
    </w:p>
    <w:p>
      <w:pPr>
        <w:pStyle w:val="Heading2"/>
      </w:pPr>
      <w:r>
        <w:t xml:space="preserve">NOW — Weeks 1–3: Build &amp; Prove</w:t>
      </w:r>
    </w:p>
    <w:p>
      <w:pPr>
        <w:spacing w:after="160" w:line="276"/>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Generate proof of concept with real conversion data.</w:t>
      </w:r>
    </w:p>
    <w:p>
      <w:pPr>
        <w:pStyle w:val="ListParagraph"/>
        <w:numPr>
          <w:ilvl w:val="0"/>
          <w:numId w:val="3"/>
        </w:numPr>
        <w:spacing w:after="100" w:line="276"/>
      </w:pPr>
      <w:r>
        <w:rPr>
          <w:rFonts w:ascii="Arial" w:cs="Arial" w:eastAsia="Arial" w:hAnsi="Arial"/>
          <w:b/>
          <w:bCs/>
          <w:color w:val="2C3E50"/>
          <w:sz w:val="22"/>
          <w:szCs w:val="22"/>
        </w:rPr>
        <w:t xml:space="preserve">Run ATTOM enrichment on Wake County Tier 1 (400 credits). </w:t>
      </w:r>
      <w:r>
        <w:rPr>
          <w:rFonts w:ascii="Arial" w:cs="Arial" w:eastAsia="Arial" w:hAnsi="Arial"/>
          <w:color w:val="2C3E50"/>
          <w:sz w:val="22"/>
          <w:szCs w:val="22"/>
        </w:rPr>
        <w:t xml:space="preserve">Use the priority logic: multi-property LLC owners first, recent acquirers second. Script already built (attom_showcase_mortgage.py), just needs the new API key (done) and Wake County APN/FIPS data.</w:t>
      </w:r>
    </w:p>
    <w:p>
      <w:pPr>
        <w:pStyle w:val="ListParagraph"/>
        <w:numPr>
          <w:ilvl w:val="0"/>
          <w:numId w:val="3"/>
        </w:numPr>
        <w:spacing w:after="100" w:line="276"/>
      </w:pPr>
      <w:r>
        <w:rPr>
          <w:rFonts w:ascii="Arial" w:cs="Arial" w:eastAsia="Arial" w:hAnsi="Arial"/>
          <w:b/>
          <w:bCs/>
          <w:color w:val="2C3E50"/>
          <w:sz w:val="22"/>
          <w:szCs w:val="22"/>
        </w:rPr>
        <w:t xml:space="preserve">Build NC pipeline (Steps 01–07). </w:t>
      </w:r>
      <w:r>
        <w:rPr>
          <w:rFonts w:ascii="Arial" w:cs="Arial" w:eastAsia="Arial" w:hAnsi="Arial"/>
          <w:color w:val="2C3E50"/>
          <w:sz w:val="22"/>
          <w:szCs w:val="22"/>
        </w:rPr>
        <w:t xml:space="preserve">Download Wake County property data from NC OneMap, parse, score, filter. Entity resolution via name parsing (skip NC SoS for now — too complex for MVP). Skip trace via Tracerfy, validate via MillionVerifier + Twilio.</w:t>
      </w:r>
    </w:p>
    <w:p>
      <w:pPr>
        <w:pStyle w:val="ListParagraph"/>
        <w:numPr>
          <w:ilvl w:val="0"/>
          <w:numId w:val="3"/>
        </w:numPr>
        <w:spacing w:after="100" w:line="276"/>
      </w:pPr>
      <w:r>
        <w:rPr>
          <w:rFonts w:ascii="Arial" w:cs="Arial" w:eastAsia="Arial" w:hAnsi="Arial"/>
          <w:b/>
          <w:bCs/>
          <w:color w:val="2C3E50"/>
          <w:sz w:val="22"/>
          <w:szCs w:val="22"/>
        </w:rPr>
        <w:t xml:space="preserve">Generate 50 LO tear sheets + 50 Agent tear sheets from top leads. </w:t>
      </w:r>
      <w:r>
        <w:rPr>
          <w:rFonts w:ascii="Arial" w:cs="Arial" w:eastAsia="Arial" w:hAnsi="Arial"/>
          <w:color w:val="2C3E50"/>
          <w:sz w:val="22"/>
          <w:szCs w:val="22"/>
        </w:rPr>
        <w:t xml:space="preserve">These are your sales samples. LO version includes DSCR/mortgage fields. Agent version shows portfolio velocity and acquisition patterns.</w:t>
      </w:r>
    </w:p>
    <w:p>
      <w:pPr>
        <w:pStyle w:val="ListParagraph"/>
        <w:numPr>
          <w:ilvl w:val="0"/>
          <w:numId w:val="3"/>
        </w:numPr>
        <w:spacing w:after="100" w:line="276"/>
      </w:pPr>
      <w:r>
        <w:rPr>
          <w:rFonts w:ascii="Arial" w:cs="Arial" w:eastAsia="Arial" w:hAnsi="Arial"/>
          <w:b/>
          <w:bCs/>
          <w:color w:val="2C3E50"/>
          <w:sz w:val="22"/>
          <w:szCs w:val="22"/>
        </w:rPr>
        <w:t xml:space="preserve">Your LO partner works 25 leads. </w:t>
      </w:r>
      <w:r>
        <w:rPr>
          <w:rFonts w:ascii="Arial" w:cs="Arial" w:eastAsia="Arial" w:hAnsi="Arial"/>
          <w:color w:val="2C3E50"/>
          <w:sz w:val="22"/>
          <w:szCs w:val="22"/>
        </w:rPr>
        <w:t xml:space="preserve">Track: outreach method, response rate, conversations started, appointments booked, deals in pipeline. This data is worth more than any pitch deck.</w:t>
      </w:r>
    </w:p>
    <w:p>
      <w:pPr>
        <w:pStyle w:val="ListParagraph"/>
        <w:numPr>
          <w:ilvl w:val="0"/>
          <w:numId w:val="3"/>
        </w:numPr>
        <w:spacing w:after="100" w:line="276"/>
      </w:pPr>
      <w:r>
        <w:rPr>
          <w:rFonts w:ascii="Arial" w:cs="Arial" w:eastAsia="Arial" w:hAnsi="Arial"/>
          <w:b/>
          <w:bCs/>
          <w:color w:val="2C3E50"/>
          <w:sz w:val="22"/>
          <w:szCs w:val="22"/>
        </w:rPr>
        <w:t xml:space="preserve">Build landing page (simple). </w:t>
      </w:r>
      <w:r>
        <w:rPr>
          <w:rFonts w:ascii="Arial" w:cs="Arial" w:eastAsia="Arial" w:hAnsi="Arial"/>
          <w:color w:val="2C3E50"/>
          <w:sz w:val="22"/>
          <w:szCs w:val="22"/>
        </w:rPr>
        <w:t xml:space="preserve">One page: what it is, sample lead profile (redacted), pricing tiers, contact form. Can be a Carrd or single HTML page.</w:t>
      </w:r>
    </w:p>
    <w:p>
      <w:pPr>
        <w:pStyle w:val="Heading2"/>
      </w:pPr>
      <w:r>
        <w:t xml:space="preserve">NEXT — Weeks 4–8: Sell &amp; Iterate</w:t>
      </w:r>
    </w:p>
    <w:p>
      <w:pPr>
        <w:spacing w:after="160" w:line="276"/>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Close first 5 paying customers across LO and Agent ICPs.</w:t>
      </w:r>
    </w:p>
    <w:p>
      <w:pPr>
        <w:pStyle w:val="ListParagraph"/>
        <w:numPr>
          <w:ilvl w:val="0"/>
          <w:numId w:val="4"/>
        </w:numPr>
        <w:spacing w:after="100" w:line="276"/>
      </w:pPr>
      <w:r>
        <w:rPr>
          <w:rFonts w:ascii="Arial" w:cs="Arial" w:eastAsia="Arial" w:hAnsi="Arial"/>
          <w:b/>
          <w:bCs/>
          <w:color w:val="2C3E50"/>
          <w:sz w:val="22"/>
          <w:szCs w:val="22"/>
        </w:rPr>
        <w:t xml:space="preserve">LinkedIn outreach to 30 DSCR loan officers in NC. </w:t>
      </w:r>
      <w:r>
        <w:rPr>
          <w:rFonts w:ascii="Arial" w:cs="Arial" w:eastAsia="Arial" w:hAnsi="Arial"/>
          <w:color w:val="2C3E50"/>
          <w:sz w:val="22"/>
          <w:szCs w:val="22"/>
        </w:rPr>
        <w:t xml:space="preserve">Search “DSCR”, “investor lending”, “non-QM” in LO profiles. Send: “I source exclusive investor leads with full portfolio + mortgage intelligence for DSCR lenders in [county]. Want to see a sample?”</w:t>
      </w:r>
    </w:p>
    <w:p>
      <w:pPr>
        <w:pStyle w:val="ListParagraph"/>
        <w:numPr>
          <w:ilvl w:val="0"/>
          <w:numId w:val="4"/>
        </w:numPr>
        <w:spacing w:after="100" w:line="276"/>
      </w:pPr>
      <w:r>
        <w:rPr>
          <w:rFonts w:ascii="Arial" w:cs="Arial" w:eastAsia="Arial" w:hAnsi="Arial"/>
          <w:b/>
          <w:bCs/>
          <w:color w:val="2C3E50"/>
          <w:sz w:val="22"/>
          <w:szCs w:val="22"/>
        </w:rPr>
        <w:t xml:space="preserve">LinkedIn outreach to 20 investor-focused RE agents. </w:t>
      </w:r>
      <w:r>
        <w:rPr>
          <w:rFonts w:ascii="Arial" w:cs="Arial" w:eastAsia="Arial" w:hAnsi="Arial"/>
          <w:color w:val="2C3E50"/>
          <w:sz w:val="22"/>
          <w:szCs w:val="22"/>
        </w:rPr>
        <w:t xml:space="preserve">Search “investor specialist”, “investment property”, “portfolio” in agent profiles. Different message: “I identify active portfolio builders in [county] before they hit the MLS. Want to see who’s acquiring in your market?”</w:t>
      </w:r>
    </w:p>
    <w:p>
      <w:pPr>
        <w:pStyle w:val="ListParagraph"/>
        <w:numPr>
          <w:ilvl w:val="0"/>
          <w:numId w:val="4"/>
        </w:numPr>
        <w:spacing w:after="100" w:line="276"/>
      </w:pPr>
      <w:r>
        <w:rPr>
          <w:rFonts w:ascii="Arial" w:cs="Arial" w:eastAsia="Arial" w:hAnsi="Arial"/>
          <w:b/>
          <w:bCs/>
          <w:color w:val="2C3E50"/>
          <w:sz w:val="22"/>
          <w:szCs w:val="22"/>
        </w:rPr>
        <w:t xml:space="preserve">Run ATTOM enrichment on Palm Beach Tier 1 (250 credits). </w:t>
      </w:r>
      <w:r>
        <w:rPr>
          <w:rFonts w:ascii="Arial" w:cs="Arial" w:eastAsia="Arial" w:hAnsi="Arial"/>
          <w:color w:val="2C3E50"/>
          <w:sz w:val="22"/>
          <w:szCs w:val="22"/>
        </w:rPr>
        <w:t xml:space="preserve">Creates FL demo package. If any FL LOs or agents bite, you have product ready to ship.</w:t>
      </w:r>
    </w:p>
    <w:p>
      <w:pPr>
        <w:pStyle w:val="ListParagraph"/>
        <w:numPr>
          <w:ilvl w:val="0"/>
          <w:numId w:val="4"/>
        </w:numPr>
        <w:spacing w:after="100" w:line="276"/>
      </w:pPr>
      <w:r>
        <w:rPr>
          <w:rFonts w:ascii="Arial" w:cs="Arial" w:eastAsia="Arial" w:hAnsi="Arial"/>
          <w:b/>
          <w:bCs/>
          <w:color w:val="2C3E50"/>
          <w:sz w:val="22"/>
          <w:szCs w:val="22"/>
        </w:rPr>
        <w:t xml:space="preserve">Close 3 LO customers at $500/mo + 2 Agent customers at $300/mo. </w:t>
      </w:r>
      <w:r>
        <w:rPr>
          <w:rFonts w:ascii="Arial" w:cs="Arial" w:eastAsia="Arial" w:hAnsi="Arial"/>
          <w:color w:val="2C3E50"/>
          <w:sz w:val="22"/>
          <w:szCs w:val="22"/>
        </w:rPr>
        <w:t xml:space="preserve">Revenue target: $2,100/month. Cost to deliver: ~$15. Start collecting feedback on lead quality, tear sheet format, and what would make them upgrade.</w:t>
      </w:r>
    </w:p>
    <w:p>
      <w:pPr>
        <w:pStyle w:val="ListParagraph"/>
        <w:numPr>
          <w:ilvl w:val="0"/>
          <w:numId w:val="4"/>
        </w:numPr>
        <w:spacing w:after="100" w:line="276"/>
      </w:pPr>
      <w:r>
        <w:rPr>
          <w:rFonts w:ascii="Arial" w:cs="Arial" w:eastAsia="Arial" w:hAnsi="Arial"/>
          <w:b/>
          <w:bCs/>
          <w:color w:val="2C3E50"/>
          <w:sz w:val="22"/>
          <w:szCs w:val="22"/>
        </w:rPr>
        <w:t xml:space="preserve">Run Mecklenburg enrichment (100 credits). </w:t>
      </w:r>
      <w:r>
        <w:rPr>
          <w:rFonts w:ascii="Arial" w:cs="Arial" w:eastAsia="Arial" w:hAnsi="Arial"/>
          <w:color w:val="2C3E50"/>
          <w:sz w:val="22"/>
          <w:szCs w:val="22"/>
        </w:rPr>
        <w:t xml:space="preserve">Expand to Charlotte. Now you cover the NC corridor — pitch as “Carolinas coverage” to branch managers.</w:t>
      </w:r>
    </w:p>
    <w:p>
      <w:pPr>
        <w:pStyle w:val="Heading2"/>
      </w:pPr>
      <w:r>
        <w:t xml:space="preserve">LATER — Months 3–6: Scale &amp; Expand</w:t>
      </w:r>
    </w:p>
    <w:p>
      <w:pPr>
        <w:spacing w:after="160" w:line="276"/>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Reach $10K/month recurring revenue. Introduce branch manager and broker tiers.</w:t>
      </w:r>
    </w:p>
    <w:p>
      <w:pPr>
        <w:pStyle w:val="ListParagraph"/>
        <w:numPr>
          <w:ilvl w:val="0"/>
          <w:numId w:val="5"/>
        </w:numPr>
        <w:spacing w:after="100" w:line="276"/>
      </w:pPr>
      <w:r>
        <w:rPr>
          <w:rFonts w:ascii="Arial" w:cs="Arial" w:eastAsia="Arial" w:hAnsi="Arial"/>
          <w:b/>
          <w:bCs/>
          <w:color w:val="2C3E50"/>
          <w:sz w:val="22"/>
          <w:szCs w:val="22"/>
        </w:rPr>
        <w:t xml:space="preserve">Pitch 5 branch managers in Raleigh + Charlotte. </w:t>
      </w:r>
      <w:r>
        <w:rPr>
          <w:rFonts w:ascii="Arial" w:cs="Arial" w:eastAsia="Arial" w:hAnsi="Arial"/>
          <w:color w:val="2C3E50"/>
          <w:sz w:val="22"/>
          <w:szCs w:val="22"/>
        </w:rPr>
        <w:t xml:space="preserve">Use conversion data from Phase 1 LO customers as proof. “Your LO John closed a $450K DSCR deal from our leads last month. Want to give your whole team access?”</w:t>
      </w:r>
    </w:p>
    <w:p>
      <w:pPr>
        <w:pStyle w:val="ListParagraph"/>
        <w:numPr>
          <w:ilvl w:val="0"/>
          <w:numId w:val="5"/>
        </w:numPr>
        <w:spacing w:after="100" w:line="276"/>
      </w:pPr>
      <w:r>
        <w:rPr>
          <w:rFonts w:ascii="Arial" w:cs="Arial" w:eastAsia="Arial" w:hAnsi="Arial"/>
          <w:b/>
          <w:bCs/>
          <w:color w:val="2C3E50"/>
          <w:sz w:val="22"/>
          <w:szCs w:val="22"/>
        </w:rPr>
        <w:t xml:space="preserve">Pitch 3 RE brokers. </w:t>
      </w:r>
      <w:r>
        <w:rPr>
          <w:rFonts w:ascii="Arial" w:cs="Arial" w:eastAsia="Arial" w:hAnsi="Arial"/>
          <w:color w:val="2C3E50"/>
          <w:sz w:val="22"/>
          <w:szCs w:val="22"/>
        </w:rPr>
        <w:t xml:space="preserve">Same playbook — use agent customer results as proof.</w:t>
      </w:r>
    </w:p>
    <w:p>
      <w:pPr>
        <w:pStyle w:val="ListParagraph"/>
        <w:numPr>
          <w:ilvl w:val="0"/>
          <w:numId w:val="5"/>
        </w:numPr>
        <w:spacing w:after="100" w:line="276"/>
      </w:pPr>
      <w:r>
        <w:rPr>
          <w:rFonts w:ascii="Arial" w:cs="Arial" w:eastAsia="Arial" w:hAnsi="Arial"/>
          <w:b/>
          <w:bCs/>
          <w:color w:val="2C3E50"/>
          <w:sz w:val="22"/>
          <w:szCs w:val="22"/>
        </w:rPr>
        <w:t xml:space="preserve">Activate Florida market. </w:t>
      </w:r>
      <w:r>
        <w:rPr>
          <w:rFonts w:ascii="Arial" w:cs="Arial" w:eastAsia="Arial" w:hAnsi="Arial"/>
          <w:color w:val="2C3E50"/>
          <w:sz w:val="22"/>
          <w:szCs w:val="22"/>
        </w:rPr>
        <w:t xml:space="preserve">Pipeline already built (7,537 leads). Top 250 are ATTOM-enriched. Sell to FL LOs and agents.</w:t>
      </w:r>
    </w:p>
    <w:p>
      <w:pPr>
        <w:pStyle w:val="ListParagraph"/>
        <w:numPr>
          <w:ilvl w:val="0"/>
          <w:numId w:val="5"/>
        </w:numPr>
        <w:spacing w:after="100" w:line="276"/>
      </w:pPr>
      <w:r>
        <w:rPr>
          <w:rFonts w:ascii="Arial" w:cs="Arial" w:eastAsia="Arial" w:hAnsi="Arial"/>
          <w:b/>
          <w:bCs/>
          <w:color w:val="2C3E50"/>
          <w:sz w:val="22"/>
          <w:szCs w:val="22"/>
        </w:rPr>
        <w:t xml:space="preserve">Evaluate ATTOM paid subscription. </w:t>
      </w:r>
      <w:r>
        <w:rPr>
          <w:rFonts w:ascii="Arial" w:cs="Arial" w:eastAsia="Arial" w:hAnsi="Arial"/>
          <w:color w:val="2C3E50"/>
          <w:sz w:val="22"/>
          <w:szCs w:val="22"/>
        </w:rPr>
        <w:t xml:space="preserve">By now you’ll know the match rate and value-add. If it’s worth it, subscribe at $95/mo for the 5K tier ($0.017/call). If not, the pipeline still works without it — just fewer mortgage-specific fields.</w:t>
      </w:r>
    </w:p>
    <w:p>
      <w:pPr>
        <w:pStyle w:val="ListParagraph"/>
        <w:numPr>
          <w:ilvl w:val="0"/>
          <w:numId w:val="5"/>
        </w:numPr>
        <w:spacing w:after="100" w:line="276"/>
      </w:pPr>
      <w:r>
        <w:rPr>
          <w:rFonts w:ascii="Arial" w:cs="Arial" w:eastAsia="Arial" w:hAnsi="Arial"/>
          <w:color w:val="2C3E50"/>
          <w:sz w:val="22"/>
          <w:szCs w:val="22"/>
        </w:rPr>
        <w:t xml:space="preserve">Revenue target: 10–15 individual customers + 2–3 branch/broker accounts = $8K–12K/month.</w:t>
      </w:r>
    </w:p>
    <w:p>
      <w:pPr>
        <w:pStyle w:val="Heading2"/>
      </w:pPr>
      <w:r>
        <w:t xml:space="preserve">FUTURE — Months 6–12: Platform &amp; National</w:t>
      </w:r>
    </w:p>
    <w:p>
      <w:pPr>
        <w:pStyle w:val="ListParagraph"/>
        <w:numPr>
          <w:ilvl w:val="0"/>
          <w:numId w:val="2"/>
        </w:numPr>
        <w:spacing w:after="100" w:line="276"/>
      </w:pPr>
      <w:r>
        <w:rPr>
          <w:rFonts w:ascii="Arial" w:cs="Arial" w:eastAsia="Arial" w:hAnsi="Arial"/>
          <w:b/>
          <w:bCs/>
          <w:color w:val="2C3E50"/>
          <w:sz w:val="22"/>
          <w:szCs w:val="22"/>
        </w:rPr>
        <w:t xml:space="preserve">Deploy in 2–3 additional states. </w:t>
      </w:r>
      <w:r>
        <w:rPr>
          <w:rFonts w:ascii="Arial" w:cs="Arial" w:eastAsia="Arial" w:hAnsi="Arial"/>
          <w:color w:val="2C3E50"/>
          <w:sz w:val="22"/>
          <w:szCs w:val="22"/>
        </w:rPr>
        <w:t xml:space="preserve">Texas and Georgia are #2 and #4 in DSCR volume. Pipeline is designed to be portable — swap state-specific configs and data sources.</w:t>
      </w:r>
    </w:p>
    <w:p>
      <w:pPr>
        <w:pStyle w:val="ListParagraph"/>
        <w:numPr>
          <w:ilvl w:val="0"/>
          <w:numId w:val="2"/>
        </w:numPr>
        <w:spacing w:after="100" w:line="276"/>
      </w:pPr>
      <w:r>
        <w:rPr>
          <w:rFonts w:ascii="Arial" w:cs="Arial" w:eastAsia="Arial" w:hAnsi="Arial"/>
          <w:b/>
          <w:bCs/>
          <w:color w:val="2C3E50"/>
          <w:sz w:val="22"/>
          <w:szCs w:val="22"/>
        </w:rPr>
        <w:t xml:space="preserve">Consider SaaS model. </w:t>
      </w:r>
      <w:r>
        <w:rPr>
          <w:rFonts w:ascii="Arial" w:cs="Arial" w:eastAsia="Arial" w:hAnsi="Arial"/>
          <w:color w:val="2C3E50"/>
          <w:sz w:val="22"/>
          <w:szCs w:val="22"/>
        </w:rPr>
        <w:t xml:space="preserve">If demand supports it, build a self-service portal where customers log in, filter leads by county/score/type, and download. Subscription-based.</w:t>
      </w:r>
    </w:p>
    <w:p>
      <w:pPr>
        <w:pStyle w:val="ListParagraph"/>
        <w:numPr>
          <w:ilvl w:val="0"/>
          <w:numId w:val="2"/>
        </w:numPr>
        <w:spacing w:after="100" w:line="276"/>
      </w:pPr>
      <w:r>
        <w:rPr>
          <w:rFonts w:ascii="Arial" w:cs="Arial" w:eastAsia="Arial" w:hAnsi="Arial"/>
          <w:b/>
          <w:bCs/>
          <w:color w:val="2C3E50"/>
          <w:sz w:val="22"/>
          <w:szCs w:val="22"/>
        </w:rPr>
        <w:t xml:space="preserve">Matchmaker pilot. </w:t>
      </w:r>
      <w:r>
        <w:rPr>
          <w:rFonts w:ascii="Arial" w:cs="Arial" w:eastAsia="Arial" w:hAnsi="Arial"/>
          <w:color w:val="2C3E50"/>
          <w:sz w:val="22"/>
          <w:szCs w:val="22"/>
        </w:rPr>
        <w:t xml:space="preserve">With proven data and customer relationships, test the appointment-setting model with 500 borrower outreach emails. Sell appointments at $200–300 each to existing LO customers.</w:t>
      </w:r>
    </w:p>
    <w:p>
      <w:pPr>
        <w:pBdr>
          <w:bottom w:val="single" w:color="85C1E9" w:sz="4" w:space="1"/>
        </w:pBdr>
        <w:spacing w:after="200" w:before="200"/>
      </w:pPr>
    </w:p>
    <w:p>
      <w:pPr>
        <w:pStyle w:val="Heading1"/>
      </w:pPr>
      <w:r>
        <w:t xml:space="preserve">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Likelihood</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LOs don’t work the leads properly</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Low conversion, blame the data, churn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E74C3C"/>
                <w:sz w:val="20"/>
                <w:szCs w:val="20"/>
              </w:rPr>
              <w:t xml:space="preserve">HIGH</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Include outreach playbook. Track and share best practices. Consider matchmaker upgrade.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Compliance objection kills deals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Lost sales, reputation risk</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E67E22"/>
                <w:sz w:val="20"/>
                <w:szCs w:val="20"/>
              </w:rPr>
              <w:t xml:space="preserve">MEDIUM</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Lead with compliance one-pager. Get attorney review letter ($500–1,000). HPPA ban makes us the safe alternative.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ATTOM trial expires before proving value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Lose mortgage enrichment capability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E67E22"/>
                <w:sz w:val="20"/>
                <w:szCs w:val="20"/>
              </w:rPr>
              <w:t xml:space="preserve">MEDIUM</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Use all 1,000 credits strategically (this plan). Pipeline works without ATTOM — just fewer mortgage fields.</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NC entity resolution harder than FL</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Lower data quality for NC leads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jc w:val="center"/>
            </w:pPr>
            <w:r>
              <w:rPr>
                <w:rFonts w:ascii="Arial" w:cs="Arial" w:eastAsia="Arial" w:hAnsi="Arial"/>
                <w:b/>
                <w:bCs/>
                <w:color w:val="E74C3C"/>
                <w:sz w:val="20"/>
                <w:szCs w:val="20"/>
              </w:rPr>
              <w:t xml:space="preserve">HIGH</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Use name parsing + portfolio detection as proxy. Skip SoS for MVP. Revisit paid subscription later.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Market too small for recurring revenue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Caps growth potential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jc w:val="center"/>
            </w:pPr>
            <w:r>
              <w:rPr>
                <w:rFonts w:ascii="Arial" w:cs="Arial" w:eastAsia="Arial" w:hAnsi="Arial"/>
                <w:b/>
                <w:bCs/>
                <w:color w:val="27AE60"/>
                <w:sz w:val="20"/>
                <w:szCs w:val="20"/>
              </w:rPr>
              <w:t xml:space="preserve">LOW</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DSCR market growing 50% YoY. 4 ICP types in each county. Expand to new states as needed. National TAM is massive.</w:t>
            </w:r>
          </w:p>
        </w:tc>
      </w:tr>
    </w:tbl>
    <w:p>
      <w:pPr>
        <w:spacing w:after="160" w:line="276"/>
      </w:pPr>
      <w:r>
        <w:rPr>
          <w:rFonts w:ascii="Arial" w:cs="Arial" w:eastAsia="Arial" w:hAnsi="Arial"/>
          <w:color w:val="2C3E50"/>
          <w:sz w:val="22"/>
          <w:szCs w:val="22"/>
        </w:rPr>
        <w:t xml:space="preserve"/>
      </w:r>
    </w:p>
    <w:p>
      <w:pPr>
        <w:pBdr>
          <w:bottom w:val="single" w:color="85C1E9" w:sz="4" w:space="1"/>
        </w:pBdr>
        <w:spacing w:after="200" w:before="200"/>
      </w:pPr>
    </w:p>
    <w:p>
      <w:pPr>
        <w:pStyle w:val="Heading1"/>
      </w:pPr>
      <w:r>
        <w:t xml:space="preserve">7. Immediate Action Items</w:t>
      </w:r>
    </w:p>
    <w:p>
      <w:pPr>
        <w:spacing w:after="160" w:line="276"/>
      </w:pPr>
      <w:r>
        <w:rPr>
          <w:rFonts w:ascii="Arial" w:cs="Arial" w:eastAsia="Arial" w:hAnsi="Arial"/>
          <w:b/>
          <w:bCs/>
          <w:color w:val="2C3E50"/>
          <w:sz w:val="22"/>
          <w:szCs w:val="22"/>
        </w:rPr>
        <w:t xml:space="preserve">This week (by March 26):</w:t>
      </w:r>
    </w:p>
    <w:p>
      <w:pPr>
        <w:pStyle w:val="ListParagraph"/>
        <w:numPr>
          <w:ilvl w:val="0"/>
          <w:numId w:val="6"/>
        </w:numPr>
        <w:spacing w:after="100" w:line="276"/>
      </w:pPr>
      <w:r>
        <w:rPr>
          <w:rFonts w:ascii="Arial" w:cs="Arial" w:eastAsia="Arial" w:hAnsi="Arial"/>
          <w:b/>
          <w:bCs/>
          <w:color w:val="2C3E50"/>
          <w:sz w:val="22"/>
          <w:szCs w:val="22"/>
        </w:rPr>
        <w:t xml:space="preserve">Run NC pipeline Steps 01–03 for Wake County. </w:t>
      </w:r>
      <w:r>
        <w:rPr>
          <w:rFonts w:ascii="Arial" w:cs="Arial" w:eastAsia="Arial" w:hAnsi="Arial"/>
          <w:color w:val="2C3E50"/>
          <w:sz w:val="22"/>
          <w:szCs w:val="22"/>
        </w:rPr>
        <w:t xml:space="preserve">Download, parse, score. Get the raw lead count and Tier 1/2/3 distribution. This tells us exactly how many leads are available and how many ATTOM credits to use.</w:t>
      </w:r>
    </w:p>
    <w:p>
      <w:pPr>
        <w:pStyle w:val="ListParagraph"/>
        <w:numPr>
          <w:ilvl w:val="0"/>
          <w:numId w:val="6"/>
        </w:numPr>
        <w:spacing w:after="100" w:line="276"/>
      </w:pPr>
      <w:r>
        <w:rPr>
          <w:rFonts w:ascii="Arial" w:cs="Arial" w:eastAsia="Arial" w:hAnsi="Arial"/>
          <w:b/>
          <w:bCs/>
          <w:color w:val="2C3E50"/>
          <w:sz w:val="22"/>
          <w:szCs w:val="22"/>
        </w:rPr>
        <w:t xml:space="preserve">Run ATTOM enrichment on top 400 Wake County leads. </w:t>
      </w:r>
      <w:r>
        <w:rPr>
          <w:rFonts w:ascii="Arial" w:cs="Arial" w:eastAsia="Arial" w:hAnsi="Arial"/>
          <w:color w:val="2C3E50"/>
          <w:sz w:val="22"/>
          <w:szCs w:val="22"/>
        </w:rPr>
        <w:t xml:space="preserve">Priority: multi-property LLC owners with mailing ≠ property address.</w:t>
      </w:r>
    </w:p>
    <w:p>
      <w:pPr>
        <w:pStyle w:val="ListParagraph"/>
        <w:numPr>
          <w:ilvl w:val="0"/>
          <w:numId w:val="6"/>
        </w:numPr>
        <w:spacing w:after="100" w:line="276"/>
      </w:pPr>
      <w:r>
        <w:rPr>
          <w:rFonts w:ascii="Arial" w:cs="Arial" w:eastAsia="Arial" w:hAnsi="Arial"/>
          <w:b/>
          <w:bCs/>
          <w:color w:val="2C3E50"/>
          <w:sz w:val="22"/>
          <w:szCs w:val="22"/>
        </w:rPr>
        <w:t xml:space="preserve">Generate 25 LO tear sheets + 25 Agent tear sheets. </w:t>
      </w:r>
      <w:r>
        <w:rPr>
          <w:rFonts w:ascii="Arial" w:cs="Arial" w:eastAsia="Arial" w:hAnsi="Arial"/>
          <w:color w:val="2C3E50"/>
          <w:sz w:val="22"/>
          <w:szCs w:val="22"/>
        </w:rPr>
        <w:t xml:space="preserve">These are your sales samples for the first LinkedIn outreach.</w:t>
      </w:r>
    </w:p>
    <w:p>
      <w:pPr>
        <w:pStyle w:val="ListParagraph"/>
        <w:numPr>
          <w:ilvl w:val="0"/>
          <w:numId w:val="6"/>
        </w:numPr>
        <w:spacing w:after="100" w:line="276"/>
      </w:pPr>
      <w:r>
        <w:rPr>
          <w:rFonts w:ascii="Arial" w:cs="Arial" w:eastAsia="Arial" w:hAnsi="Arial"/>
          <w:b/>
          <w:bCs/>
          <w:color w:val="2C3E50"/>
          <w:sz w:val="22"/>
          <w:szCs w:val="22"/>
        </w:rPr>
        <w:t xml:space="preserve">Give LO partner 25 leads to work this week. </w:t>
      </w:r>
      <w:r>
        <w:rPr>
          <w:rFonts w:ascii="Arial" w:cs="Arial" w:eastAsia="Arial" w:hAnsi="Arial"/>
          <w:color w:val="2C3E50"/>
          <w:sz w:val="22"/>
          <w:szCs w:val="22"/>
        </w:rPr>
        <w:t xml:space="preserve">Start tracking conversion data immediately.</w:t>
      </w:r>
    </w:p>
    <w:p>
      <w:pPr>
        <w:spacing w:after="160" w:line="276"/>
      </w:pPr>
      <w:r>
        <w:rPr>
          <w:rFonts w:ascii="Arial" w:cs="Arial" w:eastAsia="Arial" w:hAnsi="Arial"/>
          <w:b/>
          <w:bCs/>
          <w:color w:val="2C3E50"/>
          <w:sz w:val="22"/>
          <w:szCs w:val="22"/>
        </w:rPr>
        <w:t xml:space="preserve">Next two weeks (by April 9):</w:t>
      </w:r>
    </w:p>
    <w:p>
      <w:pPr>
        <w:pStyle w:val="ListParagraph"/>
        <w:numPr>
          <w:ilvl w:val="0"/>
          <w:numId w:val="7"/>
        </w:numPr>
        <w:spacing w:after="100" w:line="276"/>
      </w:pPr>
      <w:r>
        <w:rPr>
          <w:rFonts w:ascii="Arial" w:cs="Arial" w:eastAsia="Arial" w:hAnsi="Arial"/>
          <w:b/>
          <w:bCs/>
          <w:color w:val="2C3E50"/>
          <w:sz w:val="22"/>
          <w:szCs w:val="22"/>
        </w:rPr>
        <w:t xml:space="preserve">Send 30 LinkedIn messages to DSCR loan officers in NC.</w:t>
      </w:r>
    </w:p>
    <w:p>
      <w:pPr>
        <w:pStyle w:val="ListParagraph"/>
        <w:numPr>
          <w:ilvl w:val="0"/>
          <w:numId w:val="7"/>
        </w:numPr>
        <w:spacing w:after="100" w:line="276"/>
      </w:pPr>
      <w:r>
        <w:rPr>
          <w:rFonts w:ascii="Arial" w:cs="Arial" w:eastAsia="Arial" w:hAnsi="Arial"/>
          <w:b/>
          <w:bCs/>
          <w:color w:val="2C3E50"/>
          <w:sz w:val="22"/>
          <w:szCs w:val="22"/>
        </w:rPr>
        <w:t xml:space="preserve">Send 20 LinkedIn messages to investor-specialist RE agents in NC.</w:t>
      </w:r>
    </w:p>
    <w:p>
      <w:pPr>
        <w:pStyle w:val="ListParagraph"/>
        <w:numPr>
          <w:ilvl w:val="0"/>
          <w:numId w:val="7"/>
        </w:numPr>
        <w:spacing w:after="100" w:line="276"/>
      </w:pPr>
      <w:r>
        <w:rPr>
          <w:rFonts w:ascii="Arial" w:cs="Arial" w:eastAsia="Arial" w:hAnsi="Arial"/>
          <w:b/>
          <w:bCs/>
          <w:color w:val="2C3E50"/>
          <w:sz w:val="22"/>
          <w:szCs w:val="22"/>
        </w:rPr>
        <w:t xml:space="preserve">Close first 3 paying customers.</w:t>
      </w:r>
    </w:p>
    <w:p>
      <w:pPr>
        <w:pStyle w:val="ListParagraph"/>
        <w:numPr>
          <w:ilvl w:val="0"/>
          <w:numId w:val="7"/>
        </w:numPr>
        <w:spacing w:after="100" w:line="276"/>
      </w:pPr>
      <w:r>
        <w:rPr>
          <w:rFonts w:ascii="Arial" w:cs="Arial" w:eastAsia="Arial" w:hAnsi="Arial"/>
          <w:b/>
          <w:bCs/>
          <w:color w:val="2C3E50"/>
          <w:sz w:val="22"/>
          <w:szCs w:val="22"/>
        </w:rPr>
        <w:t xml:space="preserve">Collect feedback from LO partner on lead quality and tear sheet format.</w:t>
      </w:r>
    </w:p>
    <w:p>
      <w:pPr>
        <w:pStyle w:val="ListParagraph"/>
        <w:numPr>
          <w:ilvl w:val="0"/>
          <w:numId w:val="7"/>
        </w:numPr>
        <w:spacing w:after="100" w:line="276"/>
      </w:pPr>
      <w:r>
        <w:rPr>
          <w:rFonts w:ascii="Arial" w:cs="Arial" w:eastAsia="Arial" w:hAnsi="Arial"/>
          <w:b/>
          <w:bCs/>
          <w:color w:val="2C3E50"/>
          <w:sz w:val="22"/>
          <w:szCs w:val="22"/>
        </w:rPr>
        <w:t xml:space="preserve">Run ATTOM enrichment on Palm Beach Tier 1 (250 credits).</w:t>
      </w:r>
    </w:p>
    <w:p>
      <w:pPr>
        <w:spacing w:after="160" w:line="276"/>
      </w:pPr>
      <w:r>
        <w:rPr>
          <w:rFonts w:ascii="Arial" w:cs="Arial" w:eastAsia="Arial" w:hAnsi="Arial"/>
          <w:color w:val="2C3E50"/>
          <w:sz w:val="22"/>
          <w:szCs w:val="22"/>
        </w:rPr>
        <w:t xml:space="preserve"/>
      </w:r>
    </w:p>
    <w:p>
      <w:pPr>
        <w:spacing w:after="160" w:line="276"/>
      </w:pPr>
      <w:r>
        <w:rPr>
          <w:rFonts w:ascii="Arial" w:cs="Arial" w:eastAsia="Arial" w:hAnsi="Arial"/>
          <w:b/>
          <w:bCs/>
          <w:color w:val="2C3E50"/>
          <w:sz w:val="22"/>
          <w:szCs w:val="22"/>
        </w:rPr>
        <w:t xml:space="preserve">The plan is designed to prove concept with minimal spend, using the 1,000 free ATTOM credits as the catalyst. </w:t>
      </w:r>
      <w:r>
        <w:rPr>
          <w:rFonts w:ascii="Arial" w:cs="Arial" w:eastAsia="Arial" w:hAnsi="Arial"/>
          <w:color w:val="2C3E50"/>
          <w:sz w:val="22"/>
          <w:szCs w:val="22"/>
        </w:rPr>
        <w:t xml:space="preserve">Every credit goes toward a lead that can be sold to a real customer. By the time the credits run out, you’ll have conversion data, paying customers, and enough revenue to justify an ATTOM subscription if the mortgage enrichment proves its value.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5D6D7E"/>
        <w:sz w:val="16"/>
        <w:szCs w:val="16"/>
      </w:rPr>
      <w:t xml:space="preserve">DSCR Lead Gen  —  Business Plan &amp; Roadmap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2" w:space="4"/>
      </w:pBdr>
      <w:jc w:val="right"/>
    </w:pPr>
    <w:r>
      <w:rPr>
        <w:rFonts w:ascii="Arial" w:cs="Arial" w:eastAsia="Arial" w:hAnsi="Arial"/>
        <w:i/>
        <w:iCs/>
        <w:color w:val="5D6D7E"/>
        <w:sz w:val="16"/>
        <w:szCs w:val="16"/>
      </w:rPr>
      <w:t xml:space="preserve">CONFIDENTIAL  |  Still Mind Creative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2026-03-19T22:10:43.689Z</dcterms:created>
  <dcterms:modified xsi:type="dcterms:W3CDTF">2026-03-19T22:10:43.690Z</dcterms:modified>
</cp:coreProperties>
</file>

<file path=docProps/custom.xml><?xml version="1.0" encoding="utf-8"?>
<Properties xmlns="http://schemas.openxmlformats.org/officeDocument/2006/custom-properties" xmlns:vt="http://schemas.openxmlformats.org/officeDocument/2006/docPropsVTypes"/>
</file>