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F72"/>
          <w:sz w:val="56"/>
          <w:szCs w:val="56"/>
        </w:rPr>
        <w:t xml:space="preserve">DSCR LEAD GENERATION</w:t>
      </w:r>
    </w:p>
    <w:p>
      <w:pPr>
        <w:spacing w:after="400"/>
        <w:jc w:val="center"/>
      </w:pPr>
      <w:r>
        <w:rPr>
          <w:rFonts w:ascii="Arial" w:cs="Arial" w:eastAsia="Arial" w:hAnsi="Arial"/>
          <w:color w:val="2E86C1"/>
          <w:sz w:val="32"/>
          <w:szCs w:val="32"/>
        </w:rPr>
        <w:t xml:space="preserve">Go-to-Market Strategy &amp; Business Model Analysis</w:t>
      </w:r>
    </w:p>
    <w:p>
      <w:pPr>
        <w:pBdr>
          <w:top w:val="single" w:color="85C1E9" w:sz="4" w:space="8"/>
          <w:bottom w:val="single" w:color="85C1E9" w:sz="4" w:space="8"/>
        </w:pBdr>
        <w:spacing w:after="200" w:before="200"/>
        <w:jc w:val="center"/>
      </w:pPr>
      <w:r>
        <w:rPr>
          <w:rFonts w:ascii="Arial" w:cs="Arial" w:eastAsia="Arial" w:hAnsi="Arial"/>
          <w:color w:val="5D6D7E"/>
          <w:sz w:val="24"/>
          <w:szCs w:val="24"/>
        </w:rPr>
        <w:t xml:space="preserve">Prepared for Zack  |  Still Mind Creative  |  March 19, 2026</w:t>
      </w:r>
    </w:p>
    <w:p>
      <w:pPr>
        <w:spacing w:before="600"/>
        <w:jc w:val="center"/>
      </w:pPr>
      <w:r>
        <w:rPr>
          <w:rFonts w:ascii="Arial" w:cs="Arial" w:eastAsia="Arial" w:hAnsi="Arial"/>
          <w:i/>
          <w:iCs/>
          <w:color w:val="5D6D7E"/>
          <w:sz w:val="20"/>
          <w:szCs w:val="20"/>
        </w:rPr>
        <w:t xml:space="preserve">Based on: market research, competitive analysis, pipeline cost modeling,
and lessons from initial sales conversations.</w:t>
      </w:r>
    </w:p>
    <w:p>
      <w:r>
        <w:br w:type="page"/>
      </w:r>
    </w:p>
    <w:p>
      <w:pPr>
        <w:pStyle w:val="Heading1"/>
        <w:spacing w:after="200" w:before="360"/>
      </w:pPr>
      <w:r>
        <w:t xml:space="preserve">1. Situation Analysis</w:t>
      </w:r>
    </w:p>
    <w:p>
      <w:pPr>
        <w:pStyle w:val="Heading2"/>
        <w:spacing w:after="200" w:before="360"/>
      </w:pPr>
      <w:r>
        <w:t xml:space="preserve">What Happened Today</w:t>
      </w:r>
    </w:p>
    <w:p>
      <w:pPr>
        <w:spacing w:after="160" w:line="276"/>
      </w:pPr>
      <w:r>
        <w:rPr>
          <w:rFonts w:ascii="Arial" w:cs="Arial" w:eastAsia="Arial" w:hAnsi="Arial"/>
          <w:color w:val="2C3E50"/>
          <w:sz w:val="22"/>
          <w:szCs w:val="22"/>
        </w:rPr>
        <w:t xml:space="preserve">A wholesale DSCR lender declined our pitch with two objections: (1) they can source this data internally, and (2) compliance risk. Both are addressable, but the real lesson is about buyer selection, not product quality.</w:t>
      </w:r>
    </w:p>
    <w:p>
      <w:pPr>
        <w:pStyle w:val="Heading3"/>
        <w:spacing w:after="200" w:before="360"/>
      </w:pPr>
      <w:r>
        <w:t xml:space="preserve">Why the Wholesale Lender Was the Wrong Buyer</w:t>
      </w:r>
    </w:p>
    <w:p>
      <w:pPr>
        <w:pStyle w:val="ListParagraph"/>
        <w:numPr>
          <w:ilvl w:val="0"/>
          <w:numId w:val="2"/>
        </w:numPr>
        <w:spacing w:after="100" w:line="276"/>
      </w:pPr>
      <w:r>
        <w:rPr>
          <w:rFonts w:ascii="Arial" w:cs="Arial" w:eastAsia="Arial" w:hAnsi="Arial"/>
          <w:b/>
          <w:bCs/>
          <w:color w:val="2C3E50"/>
          <w:sz w:val="22"/>
          <w:szCs w:val="22"/>
        </w:rPr>
        <w:t xml:space="preserve">Wholesale lenders have internal marketing teams </w:t>
      </w:r>
      <w:r>
        <w:rPr>
          <w:rFonts w:ascii="Arial" w:cs="Arial" w:eastAsia="Arial" w:hAnsi="Arial"/>
          <w:color w:val="2C3E50"/>
          <w:sz w:val="22"/>
          <w:szCs w:val="22"/>
        </w:rPr>
        <w:t xml:space="preserve">with existing data vendors (ATTOM, CoreLogic, Black Knight). They already pay $5K-50K/month for property data feeds. They don't need a third-party lead list.</w:t>
      </w:r>
    </w:p>
    <w:p>
      <w:pPr>
        <w:pStyle w:val="ListParagraph"/>
        <w:numPr>
          <w:ilvl w:val="0"/>
          <w:numId w:val="2"/>
        </w:numPr>
        <w:spacing w:after="100" w:line="276"/>
      </w:pPr>
      <w:r>
        <w:rPr>
          <w:rFonts w:ascii="Arial" w:cs="Arial" w:eastAsia="Arial" w:hAnsi="Arial"/>
          <w:b/>
          <w:bCs/>
          <w:color w:val="2C3E50"/>
          <w:sz w:val="22"/>
          <w:szCs w:val="22"/>
        </w:rPr>
        <w:t xml:space="preserve">Their compliance departments are risk-averse by design. </w:t>
      </w:r>
      <w:r>
        <w:rPr>
          <w:rFonts w:ascii="Arial" w:cs="Arial" w:eastAsia="Arial" w:hAnsi="Arial"/>
          <w:color w:val="2C3E50"/>
          <w:sz w:val="22"/>
          <w:szCs w:val="22"/>
        </w:rPr>
        <w:t xml:space="preserve">Any external data source creates audit overhead. The “legal issue” objection is a standard gatekeeping response, not a real blocker.</w:t>
      </w:r>
    </w:p>
    <w:p>
      <w:pPr>
        <w:pStyle w:val="ListParagraph"/>
        <w:numPr>
          <w:ilvl w:val="0"/>
          <w:numId w:val="2"/>
        </w:numPr>
        <w:spacing w:after="100" w:line="276"/>
      </w:pPr>
      <w:r>
        <w:rPr>
          <w:rFonts w:ascii="Arial" w:cs="Arial" w:eastAsia="Arial" w:hAnsi="Arial"/>
          <w:b/>
          <w:bCs/>
          <w:color w:val="2C3E50"/>
          <w:sz w:val="22"/>
          <w:szCs w:val="22"/>
        </w:rPr>
        <w:t xml:space="preserve">They were never going to say yes. </w:t>
      </w:r>
      <w:r>
        <w:rPr>
          <w:rFonts w:ascii="Arial" w:cs="Arial" w:eastAsia="Arial" w:hAnsi="Arial"/>
          <w:color w:val="2C3E50"/>
          <w:sz w:val="22"/>
          <w:szCs w:val="22"/>
        </w:rPr>
        <w:t xml:space="preserve">This is like selling fishing rods to a commercial fleet. They have trawl nets. Our product solves a different problem for a different buyer.</w:t>
      </w:r>
    </w:p>
    <w:p>
      <w:pPr>
        <w:pStyle w:val="Heading3"/>
        <w:spacing w:after="200" w:before="360"/>
      </w:pPr>
      <w:r>
        <w:t xml:space="preserve">What We Actually Have</w:t>
      </w:r>
    </w:p>
    <w:p>
      <w:pPr>
        <w:spacing w:after="160" w:line="276"/>
      </w:pPr>
      <w:r>
        <w:rPr>
          <w:rFonts w:ascii="Arial" w:cs="Arial" w:eastAsia="Arial" w:hAnsi="Arial"/>
          <w:color w:val="2C3E50"/>
          <w:sz w:val="22"/>
          <w:szCs w:val="22"/>
        </w:rPr>
        <w:t xml:space="preserve">Our pipeline produces 157-field investor intelligence dossiers at roughly $0.01 per lead. The market sells comparable (but far less enriched) leads for $40–200 each. The margin opportunity is enormous, but only if we reach the right buyers with the right packaging.</w:t>
      </w:r>
    </w:p>
    <w:p>
      <w:pPr>
        <w:pBdr>
          <w:bottom w:val="single" w:color="85C1E9" w:sz="4" w:space="1"/>
        </w:pBdr>
        <w:spacing w:after="200" w:before="200"/>
      </w:pPr>
    </w:p>
    <w:p>
      <w:pPr>
        <w:pStyle w:val="Heading1"/>
        <w:spacing w:after="200" w:before="360"/>
      </w:pPr>
      <w:r>
        <w:t xml:space="preserve">2. Market Opportunity</w:t>
      </w:r>
    </w:p>
    <w:p>
      <w:pPr>
        <w:spacing w:after="160" w:line="276"/>
      </w:pPr>
      <w:r>
        <w:rPr>
          <w:rFonts w:ascii="Arial" w:cs="Arial" w:eastAsia="Arial" w:hAnsi="Arial"/>
          <w:color w:val="2C3E50"/>
          <w:sz w:val="22"/>
          <w:szCs w:val="22"/>
        </w:rPr>
        <w:t xml:space="preserve">DSCR lending is the fastest-growing segment in mortgage origination. This isn’t a niche—it’s becoming mainstream.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Point</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YoY Volume Growth</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50%+ increase</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Jan 2025 Volume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4,200+ transactions, $2B+ in one month</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Private Lending Market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$2 trillion (up 14% from 2024)</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Average DSCR Loan Size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$385K–$500K</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LO Commission per Close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$3,850–$5,000 (1% of loan amount)</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New Entrants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Rocket Pro launched DSCR product Nov 2025</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color w:val="2C3E50"/>
          <w:sz w:val="22"/>
          <w:szCs w:val="22"/>
        </w:rPr>
        <w:t xml:space="preserve">The key insight: when a loan officer closes one DSCR deal worth $385K, their commission is roughly $3,850. That means even a $100–150 lead cost generates 25–50x ROI if even a small percentage convert. Loan officers understand this math.</w:t>
      </w:r>
    </w:p>
    <w:p>
      <w:pPr>
        <w:pBdr>
          <w:bottom w:val="single" w:color="85C1E9" w:sz="4" w:space="1"/>
        </w:pBdr>
        <w:spacing w:after="200" w:before="200"/>
      </w:pPr>
    </w:p>
    <w:p>
      <w:pPr>
        <w:pStyle w:val="Heading1"/>
        <w:spacing w:after="200" w:before="360"/>
      </w:pPr>
      <w:r>
        <w:t xml:space="preserve">3. Competitive Landscape</w:t>
      </w:r>
    </w:p>
    <w:p>
      <w:pPr>
        <w:spacing w:after="160" w:line="276"/>
      </w:pPr>
      <w:r>
        <w:rPr>
          <w:rFonts w:ascii="Arial" w:cs="Arial" w:eastAsia="Arial" w:hAnsi="Arial"/>
          <w:color w:val="2C3E50"/>
          <w:sz w:val="22"/>
          <w:szCs w:val="22"/>
        </w:rPr>
        <w:t xml:space="preserve">Our competition falls into three categories, and we have distinct advantages over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Competitor Type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They Offer</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Our Advantage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Generic Lead Vendors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Aged Lead Store, LeadPoint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Name + phone + email. No property data. $40–200/lead.</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We include 157 fields</w:t>
            </w:r>
            <w:r>
              <w:rPr>
                <w:rFonts w:ascii="Arial" w:cs="Arial" w:eastAsia="Arial" w:hAnsi="Arial"/>
                <w:color w:val="2C3E50"/>
                <w:sz w:val="20"/>
                <w:szCs w:val="20"/>
              </w:rPr>
              <w:t xml:space="preserve"> of investor intelligence at $0.01/lead cost.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SaaS Platforms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PropStream, BatchLeads, Leadflow</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DIY property search tools. $99–299/mo. LO does all the work.</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We deliver ready-to-work leads</w:t>
            </w:r>
            <w:r>
              <w:rPr>
                <w:rFonts w:ascii="Arial" w:cs="Arial" w:eastAsia="Arial" w:hAnsi="Arial"/>
                <w:color w:val="2C3E50"/>
                <w:sz w:val="20"/>
                <w:szCs w:val="20"/>
              </w:rPr>
              <w:t xml:space="preserve"> with scoring, contact info, and outreach angles.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Trigger Lead Vendors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(Being banned by HPPA 2026)</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Credit inquiry-based leads. Being regulated out of existence.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100% public data.</w:t>
            </w:r>
            <w:r>
              <w:rPr>
                <w:rFonts w:ascii="Arial" w:cs="Arial" w:eastAsia="Arial" w:hAnsi="Arial"/>
                <w:color w:val="2C3E50"/>
                <w:sz w:val="20"/>
                <w:szCs w:val="20"/>
              </w:rPr>
              <w:t xml:space="preserve"> No credit bureau dependency. No HPPA exposure.</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Critical timing advantage: </w:t>
      </w:r>
      <w:r>
        <w:rPr>
          <w:rFonts w:ascii="Arial" w:cs="Arial" w:eastAsia="Arial" w:hAnsi="Arial"/>
          <w:color w:val="2C3E50"/>
          <w:sz w:val="22"/>
          <w:szCs w:val="22"/>
        </w:rPr>
        <w:t xml:space="preserve">The HPPA (2026) is banning trigger leads—the mortgage industry’s primary lead source for decades. Lenders and LOs are actively searching for alternatives right now. We’re building the replacement.</w:t>
      </w:r>
    </w:p>
    <w:p>
      <w:pPr>
        <w:pBdr>
          <w:bottom w:val="single" w:color="85C1E9" w:sz="4" w:space="1"/>
        </w:pBdr>
        <w:spacing w:after="200" w:before="200"/>
      </w:pPr>
    </w:p>
    <w:p>
      <w:pPr>
        <w:pStyle w:val="Heading1"/>
        <w:spacing w:after="200" w:before="360"/>
      </w:pPr>
      <w:r>
        <w:t xml:space="preserve">4. Who Actually Buys These Leads</w:t>
      </w:r>
    </w:p>
    <w:p>
      <w:pPr>
        <w:spacing w:after="160" w:line="276"/>
      </w:pPr>
      <w:r>
        <w:rPr>
          <w:rFonts w:ascii="Arial" w:cs="Arial" w:eastAsia="Arial" w:hAnsi="Arial"/>
          <w:color w:val="2C3E50"/>
          <w:sz w:val="22"/>
          <w:szCs w:val="22"/>
        </w:rPr>
        <w:t xml:space="preserve">After today’s rejection, we need to be precise about who our buyer is and isn’t.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400"/>
        <w:gridCol w:w="1680"/>
        <w:gridCol w:w="1680"/>
      </w:tblGrid>
      <w:tr>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Buyer Type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They Buy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Budget</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Volume</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Verdict</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Individual LOs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Need deal flow, can’t build data pipelines, hungry for commissions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$200–500/mo</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25–50 leads/mo</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7AE60"/>
                <w:sz w:val="20"/>
                <w:szCs w:val="20"/>
              </w:rPr>
              <w:t xml:space="preserve">PRIMARY</w:t>
            </w:r>
          </w:p>
        </w:tc>
      </w:tr>
      <w:tr>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Small Brokerages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Want to build DSCR division, need data + process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$500–2K/mo</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100–500 leads/mo</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7AE60"/>
                <w:sz w:val="20"/>
                <w:szCs w:val="20"/>
              </w:rPr>
              <w:t xml:space="preserve">STRONG</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RE Agent Teams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Want to offer financing intros to investor clients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$100–300/mo</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10–25 leads/mo</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F39C12"/>
                <w:sz w:val="20"/>
                <w:szCs w:val="20"/>
              </w:rPr>
              <w:t xml:space="preserve">SECONDARY</w:t>
            </w:r>
          </w:p>
        </w:tc>
      </w:tr>
      <w:tr>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Wholesale Lenders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Have internal teams, see external data as liability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N/A</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N/A</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E74C3C"/>
                <w:sz w:val="20"/>
                <w:szCs w:val="20"/>
              </w:rPr>
              <w:t xml:space="preserve">AVOID</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The sweet spot is the individual loan officer or small brokerage </w:t>
      </w:r>
      <w:r>
        <w:rPr>
          <w:rFonts w:ascii="Arial" w:cs="Arial" w:eastAsia="Arial" w:hAnsi="Arial"/>
          <w:color w:val="2C3E50"/>
          <w:sz w:val="22"/>
          <w:szCs w:val="22"/>
        </w:rPr>
        <w:t xml:space="preserve">that originates DSCR loans, understands the product, but lacks the data infrastructure to identify and reach high-quality prospects. They’re currently either cold calling from basic lists, buying shared leads from generic vendors, or waiting for referrals.</w:t>
      </w:r>
    </w:p>
    <w:p>
      <w:pPr>
        <w:pBdr>
          <w:bottom w:val="single" w:color="85C1E9" w:sz="4" w:space="1"/>
        </w:pBdr>
        <w:spacing w:after="200" w:before="200"/>
      </w:pPr>
    </w:p>
    <w:p>
      <w:pPr>
        <w:pStyle w:val="Heading1"/>
        <w:spacing w:after="200" w:before="360"/>
      </w:pPr>
      <w:r>
        <w:t xml:space="preserve">5. Three Business Models to Consider</w:t>
      </w:r>
    </w:p>
    <w:p>
      <w:pPr>
        <w:spacing w:after="160" w:line="276"/>
      </w:pPr>
      <w:r>
        <w:rPr>
          <w:rFonts w:ascii="Arial" w:cs="Arial" w:eastAsia="Arial" w:hAnsi="Arial"/>
          <w:color w:val="2C3E50"/>
          <w:sz w:val="22"/>
          <w:szCs w:val="22"/>
        </w:rPr>
        <w:t xml:space="preserve">Based on your preference to stay behind the scenes, your cost structure ($0.01/lead), and the affluent borrower profile, here are three viable models ranked by recommendation.</w:t>
      </w:r>
    </w:p>
    <w:p>
      <w:pPr>
        <w:pStyle w:val="Heading2"/>
        <w:spacing w:after="200" w:before="360"/>
      </w:pPr>
      <w:r>
        <w:t xml:space="preserve">Model A: “Intelligence Package” — Enriched Leads +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Recommendation</w:t>
            </w:r>
          </w:p>
        </w:tc>
        <w:tc>
          <w:tcPr>
            <w:tcW w:type="dxa" w:w="702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pPr>
            <w:r>
              <w:rPr>
                <w:rFonts w:ascii="Arial" w:cs="Arial" w:eastAsia="Arial" w:hAnsi="Arial"/>
                <w:b/>
                <w:bCs/>
                <w:color w:val="27AE60"/>
                <w:sz w:val="20"/>
                <w:szCs w:val="20"/>
              </w:rPr>
              <w:t xml:space="preserve">START HERE — Lowest risk, fastest to revenue, stays behind the scenes</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What it is: </w:t>
      </w:r>
      <w:r>
        <w:rPr>
          <w:rFonts w:ascii="Arial" w:cs="Arial" w:eastAsia="Arial" w:hAnsi="Arial"/>
          <w:color w:val="2C3E50"/>
          <w:sz w:val="22"/>
          <w:szCs w:val="22"/>
        </w:rPr>
        <w:t xml:space="preserve">Sell leads packaged with everything a loan officer needs to work them—not just data, but context. Each lead comes with a profile sheet showing the borrower’s portfolio size, estimated equity, current lender, purchase velocity, and a suggested outreach angle specific to that investor’s situation.</w:t>
      </w:r>
    </w:p>
    <w:p>
      <w:pPr>
        <w:spacing w:after="160" w:line="276"/>
      </w:pPr>
      <w:r>
        <w:rPr>
          <w:rFonts w:ascii="Arial" w:cs="Arial" w:eastAsia="Arial" w:hAnsi="Arial"/>
          <w:b/>
          <w:bCs/>
          <w:color w:val="2C3E50"/>
          <w:sz w:val="22"/>
          <w:szCs w:val="22"/>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Leads/Month</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Price/Lead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 Cost</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Your Margin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Starter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$500</w:t>
            </w:r>
          </w:p>
        </w:tc>
        <w:tc>
          <w:tcPr>
            <w:tcW w:type="dxa" w:w="1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99.5%</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Growth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75</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$1,125</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99.5%</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Pro</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$2,000</w:t>
            </w:r>
          </w:p>
        </w:tc>
        <w:tc>
          <w:tcPr>
            <w:tcW w:type="dxa" w:w="1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99.5%</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Why this pricing works: </w:t>
      </w:r>
      <w:r>
        <w:rPr>
          <w:rFonts w:ascii="Arial" w:cs="Arial" w:eastAsia="Arial" w:hAnsi="Arial"/>
          <w:color w:val="2C3E50"/>
          <w:sz w:val="22"/>
          <w:szCs w:val="22"/>
        </w:rPr>
        <w:t xml:space="preserve">Even at our lowest tier ($10/lead), a loan officer only needs to close ONE deal per year from our leads to see 25x+ ROI. That’s an easy pitch. And at $0.01 cost, our margin is essentially 100%.</w:t>
      </w:r>
    </w:p>
    <w:p>
      <w:pPr>
        <w:spacing w:after="160" w:line="276"/>
      </w:pPr>
      <w:r>
        <w:rPr>
          <w:rFonts w:ascii="Arial" w:cs="Arial" w:eastAsia="Arial" w:hAnsi="Arial"/>
          <w:b/>
          <w:bCs/>
          <w:color w:val="2C3E50"/>
          <w:sz w:val="22"/>
          <w:szCs w:val="22"/>
        </w:rPr>
        <w:t xml:space="preserve">What’s included in each lead:</w:t>
      </w:r>
    </w:p>
    <w:p>
      <w:pPr>
        <w:pStyle w:val="ListParagraph"/>
        <w:numPr>
          <w:ilvl w:val="0"/>
          <w:numId w:val="2"/>
        </w:numPr>
        <w:spacing w:after="100" w:line="276"/>
      </w:pPr>
      <w:r>
        <w:rPr>
          <w:rFonts w:ascii="Arial" w:cs="Arial" w:eastAsia="Arial" w:hAnsi="Arial"/>
          <w:color w:val="2C3E50"/>
          <w:sz w:val="22"/>
          <w:szCs w:val="22"/>
        </w:rPr>
        <w:t xml:space="preserve">Owner identity (entity resolution—LLC to actual person)</w:t>
      </w:r>
    </w:p>
    <w:p>
      <w:pPr>
        <w:pStyle w:val="ListParagraph"/>
        <w:numPr>
          <w:ilvl w:val="0"/>
          <w:numId w:val="2"/>
        </w:numPr>
        <w:spacing w:after="100" w:line="276"/>
      </w:pPr>
      <w:r>
        <w:rPr>
          <w:rFonts w:ascii="Arial" w:cs="Arial" w:eastAsia="Arial" w:hAnsi="Arial"/>
          <w:color w:val="2C3E50"/>
          <w:sz w:val="22"/>
          <w:szCs w:val="22"/>
        </w:rPr>
        <w:t xml:space="preserve">Portfolio summary (property count, total value, property types)</w:t>
      </w:r>
    </w:p>
    <w:p>
      <w:pPr>
        <w:pStyle w:val="ListParagraph"/>
        <w:numPr>
          <w:ilvl w:val="0"/>
          <w:numId w:val="2"/>
        </w:numPr>
        <w:spacing w:after="100" w:line="276"/>
      </w:pPr>
      <w:r>
        <w:rPr>
          <w:rFonts w:ascii="Arial" w:cs="Arial" w:eastAsia="Arial" w:hAnsi="Arial"/>
          <w:color w:val="2C3E50"/>
          <w:sz w:val="22"/>
          <w:szCs w:val="22"/>
        </w:rPr>
        <w:t xml:space="preserve">Financing intelligence (current lender, estimated rate, loan maturity, equity)</w:t>
      </w:r>
    </w:p>
    <w:p>
      <w:pPr>
        <w:pStyle w:val="ListParagraph"/>
        <w:numPr>
          <w:ilvl w:val="0"/>
          <w:numId w:val="2"/>
        </w:numPr>
        <w:spacing w:after="100" w:line="276"/>
      </w:pPr>
      <w:r>
        <w:rPr>
          <w:rFonts w:ascii="Arial" w:cs="Arial" w:eastAsia="Arial" w:hAnsi="Arial"/>
          <w:color w:val="2C3E50"/>
          <w:sz w:val="22"/>
          <w:szCs w:val="22"/>
        </w:rPr>
        <w:t xml:space="preserve">Contact info (skip-traced phone + email, validated)</w:t>
      </w:r>
    </w:p>
    <w:p>
      <w:pPr>
        <w:pStyle w:val="ListParagraph"/>
        <w:numPr>
          <w:ilvl w:val="0"/>
          <w:numId w:val="2"/>
        </w:numPr>
        <w:spacing w:after="100" w:line="276"/>
      </w:pPr>
      <w:r>
        <w:rPr>
          <w:rFonts w:ascii="Arial" w:cs="Arial" w:eastAsia="Arial" w:hAnsi="Arial"/>
          <w:color w:val="2C3E50"/>
          <w:sz w:val="22"/>
          <w:szCs w:val="22"/>
        </w:rPr>
        <w:t xml:space="preserve">DSCR opportunity score (0–100 with Tier 1/2/3 classification)</w:t>
      </w:r>
    </w:p>
    <w:p>
      <w:pPr>
        <w:pStyle w:val="ListParagraph"/>
        <w:numPr>
          <w:ilvl w:val="0"/>
          <w:numId w:val="2"/>
        </w:numPr>
        <w:spacing w:after="100" w:line="276"/>
      </w:pPr>
      <w:r>
        <w:rPr>
          <w:rFonts w:ascii="Arial" w:cs="Arial" w:eastAsia="Arial" w:hAnsi="Arial"/>
          <w:color w:val="2C3E50"/>
          <w:sz w:val="22"/>
          <w:szCs w:val="22"/>
        </w:rPr>
        <w:t xml:space="preserve">Suggested outreach angle (personalized per lead based on their signals)</w:t>
      </w:r>
    </w:p>
    <w:p>
      <w:pPr>
        <w:pStyle w:val="ListParagraph"/>
        <w:numPr>
          <w:ilvl w:val="0"/>
          <w:numId w:val="2"/>
        </w:numPr>
        <w:spacing w:after="100" w:line="276"/>
      </w:pPr>
      <w:r>
        <w:rPr>
          <w:rFonts w:ascii="Arial" w:cs="Arial" w:eastAsia="Arial" w:hAnsi="Arial"/>
          <w:color w:val="2C3E50"/>
          <w:sz w:val="22"/>
          <w:szCs w:val="22"/>
        </w:rPr>
        <w:t xml:space="preserve">Compliance-ready (DNC-scrubbed, phone type validated for TCPA)</w:t>
      </w:r>
    </w:p>
    <w:p>
      <w:pPr>
        <w:spacing w:after="160" w:line="276"/>
      </w:pPr>
      <w:r>
        <w:rPr>
          <w:rFonts w:ascii="Arial" w:cs="Arial" w:eastAsia="Arial" w:hAnsi="Arial"/>
          <w:b/>
          <w:bCs/>
          <w:color w:val="2C3E50"/>
          <w:sz w:val="22"/>
          <w:szCs w:val="22"/>
        </w:rPr>
        <w:t xml:space="preserve">Why it works for the affluent borrower profile: </w:t>
      </w:r>
      <w:r>
        <w:rPr>
          <w:rFonts w:ascii="Arial" w:cs="Arial" w:eastAsia="Arial" w:hAnsi="Arial"/>
          <w:color w:val="2C3E50"/>
          <w:sz w:val="22"/>
          <w:szCs w:val="22"/>
        </w:rPr>
        <w:t xml:space="preserve">The LO isn’t getting a cold name and phone number. They’re getting a dossier that lets them lead with something specific: “I noticed you recently acquired three properties in Wake County through your LLC—investors scaling like you often benefit from DSCR financing.” That’s a conversation opener, not a cold call.</w:t>
      </w:r>
    </w:p>
    <w:p>
      <w:pPr>
        <w:spacing w:after="160" w:line="276"/>
      </w:pPr>
      <w:r>
        <w:rPr>
          <w:rFonts w:ascii="Arial" w:cs="Arial" w:eastAsia="Arial" w:hAnsi="Arial"/>
          <w:b/>
          <w:bCs/>
          <w:color w:val="2C3E50"/>
          <w:sz w:val="22"/>
          <w:szCs w:val="22"/>
        </w:rPr>
        <w:t xml:space="preserve">How to teach LOs to use them: </w:t>
      </w:r>
      <w:r>
        <w:rPr>
          <w:rFonts w:ascii="Arial" w:cs="Arial" w:eastAsia="Arial" w:hAnsi="Arial"/>
          <w:color w:val="2C3E50"/>
          <w:sz w:val="22"/>
          <w:szCs w:val="22"/>
        </w:rPr>
        <w:t xml:space="preserve">Include a one-page “How to Work These Leads” guide with every order. Cover the basics: use the outreach angle, reference their portfolio, mention their current lender if relevant, and follow up 3–5 times. Simple, but most LOs won’t do this without being told.</w:t>
      </w:r>
    </w:p>
    <w:p>
      <w:pPr>
        <w:pStyle w:val="Heading2"/>
        <w:spacing w:after="200" w:before="360"/>
      </w:pPr>
      <w:r>
        <w:t xml:space="preserve">Model B: “Matchmaker” — Borrower Outreach + Appointment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Recommendation</w:t>
            </w:r>
          </w:p>
        </w:tc>
        <w:tc>
          <w:tcPr>
            <w:tcW w:type="dxa" w:w="702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after="0"/>
            </w:pPr>
            <w:r>
              <w:rPr>
                <w:rFonts w:ascii="Arial" w:cs="Arial" w:eastAsia="Arial" w:hAnsi="Arial"/>
                <w:b/>
                <w:bCs/>
                <w:color w:val="F39C12"/>
                <w:sz w:val="20"/>
                <w:szCs w:val="20"/>
              </w:rPr>
              <w:t xml:space="preserve">PHASE 2 — Higher revenue per unit, but requires more operational work</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What it is: </w:t>
      </w:r>
      <w:r>
        <w:rPr>
          <w:rFonts w:ascii="Arial" w:cs="Arial" w:eastAsia="Arial" w:hAnsi="Arial"/>
          <w:color w:val="2C3E50"/>
          <w:sz w:val="22"/>
          <w:szCs w:val="22"/>
        </w:rPr>
        <w:t xml:space="preserve">Instead of selling raw leads, you run the outreach yourself. Send personalized, professional emails to the target borrowers offering to connect them with a DSCR specialist. When they express interest, you book an appointment and sell that appointment to a lender or loan officer.</w:t>
      </w:r>
    </w:p>
    <w:p>
      <w:pPr>
        <w:spacing w:after="160" w:line="276"/>
      </w:pPr>
      <w:r>
        <w:rPr>
          <w:rFonts w:ascii="Arial" w:cs="Arial" w:eastAsia="Arial" w:hAnsi="Arial"/>
          <w:b/>
          <w:bCs/>
          <w:color w:val="2C3E50"/>
          <w:sz w:val="22"/>
          <w:szCs w:val="22"/>
        </w:rPr>
        <w:t xml:space="preserve">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Estimate</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Emails sent per month</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1,000–2,000</w:t>
            </w:r>
          </w:p>
        </w:tc>
      </w:tr>
      <w:tr>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Response rate (personalized, cold)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3–7%</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Interested responses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30–140 per month</w:t>
            </w:r>
          </w:p>
        </w:tc>
      </w:tr>
      <w:tr>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Qualified appointments booked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15–70 per month</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Price per appointment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$150–$300</w:t>
            </w:r>
          </w:p>
        </w:tc>
      </w:tr>
      <w:tr>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Monthly revenue (conservative)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7AE60"/>
                <w:sz w:val="20"/>
                <w:szCs w:val="20"/>
              </w:rPr>
              <w:t xml:space="preserve">$2,250–$21,000</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The brand angle: </w:t>
      </w:r>
      <w:r>
        <w:rPr>
          <w:rFonts w:ascii="Arial" w:cs="Arial" w:eastAsia="Arial" w:hAnsi="Arial"/>
          <w:color w:val="2C3E50"/>
          <w:sz w:val="22"/>
          <w:szCs w:val="22"/>
        </w:rPr>
        <w:t xml:space="preserve">This model naturally supports a separate entity—something like “DSCR Connect” or “Investor Lending Match”—positioned as an educational resource that connects investors to the right financing. The outreach comes from a trusted advisor brand, not a lead vendor, which resonates better with affluent borrowers.</w:t>
      </w:r>
    </w:p>
    <w:p>
      <w:pPr>
        <w:spacing w:after="160" w:line="276"/>
      </w:pPr>
      <w:r>
        <w:rPr>
          <w:rFonts w:ascii="Arial" w:cs="Arial" w:eastAsia="Arial" w:hAnsi="Arial"/>
          <w:b/>
          <w:bCs/>
          <w:color w:val="2C3E50"/>
          <w:sz w:val="22"/>
          <w:szCs w:val="22"/>
        </w:rPr>
        <w:t xml:space="preserve">Compliance advantage: </w:t>
      </w:r>
      <w:r>
        <w:rPr>
          <w:rFonts w:ascii="Arial" w:cs="Arial" w:eastAsia="Arial" w:hAnsi="Arial"/>
          <w:color w:val="2C3E50"/>
          <w:sz w:val="22"/>
          <w:szCs w:val="22"/>
        </w:rPr>
        <w:t xml:space="preserve">Under RESPA Section 8(c)(2), flat-rate appointment fees are explicitly permitted as “payment for goods actually furnished.” No referral fee structure, no per-closed-loan pricing, no MSA complications. Your existing compliance one-pager already covers this.</w:t>
      </w:r>
    </w:p>
    <w:p>
      <w:pPr>
        <w:spacing w:after="160" w:line="276"/>
      </w:pPr>
      <w:r>
        <w:rPr>
          <w:rFonts w:ascii="Arial" w:cs="Arial" w:eastAsia="Arial" w:hAnsi="Arial"/>
          <w:b/>
          <w:bCs/>
          <w:color w:val="2C3E50"/>
          <w:sz w:val="22"/>
          <w:szCs w:val="22"/>
        </w:rPr>
        <w:t xml:space="preserve">Why Phase 2 and not Phase 1: </w:t>
      </w:r>
      <w:r>
        <w:rPr>
          <w:rFonts w:ascii="Arial" w:cs="Arial" w:eastAsia="Arial" w:hAnsi="Arial"/>
          <w:color w:val="2C3E50"/>
          <w:sz w:val="22"/>
          <w:szCs w:val="22"/>
        </w:rPr>
        <w:t xml:space="preserve">While more lucrative, this requires building an outreach operation (email infrastructure, templates, follow-up sequences, appointment scheduling). It’s better to prove the lead quality first through Model A, build relationships with LOs who buy leads, then offer to “upgrade” their service to appointment delivery.</w:t>
      </w:r>
    </w:p>
    <w:p>
      <w:pPr>
        <w:pStyle w:val="Heading2"/>
        <w:spacing w:after="200" w:before="360"/>
      </w:pPr>
      <w:r>
        <w:t xml:space="preserve">Model C: Territory Subscription — Monthly Access to a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Recommendation</w:t>
            </w:r>
          </w:p>
        </w:tc>
        <w:tc>
          <w:tcPr>
            <w:tcW w:type="dxa" w:w="702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after="0"/>
            </w:pPr>
            <w:r>
              <w:rPr>
                <w:rFonts w:ascii="Arial" w:cs="Arial" w:eastAsia="Arial" w:hAnsi="Arial"/>
                <w:b/>
                <w:bCs/>
                <w:color w:val="E74C3C"/>
                <w:sz w:val="20"/>
                <w:szCs w:val="20"/>
              </w:rPr>
              <w:t xml:space="preserve">LONG-TERM — Best recurring revenue, but needs more customers first</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What it is: </w:t>
      </w:r>
      <w:r>
        <w:rPr>
          <w:rFonts w:ascii="Arial" w:cs="Arial" w:eastAsia="Arial" w:hAnsi="Arial"/>
          <w:color w:val="2C3E50"/>
          <w:sz w:val="22"/>
          <w:szCs w:val="22"/>
        </w:rPr>
        <w:t xml:space="preserve">Sell exclusive access to a county or metro area. One LO or brokerage gets all leads in Wake County for $999/month. Includes monthly refreshes, new property filings, and updated scoring.</w:t>
      </w:r>
    </w:p>
    <w:p>
      <w:pPr>
        <w:spacing w:after="160" w:line="276"/>
      </w:pPr>
      <w:r>
        <w:rPr>
          <w:rFonts w:ascii="Arial" w:cs="Arial" w:eastAsia="Arial" w:hAnsi="Arial"/>
          <w:b/>
          <w:bCs/>
          <w:color w:val="2C3E50"/>
          <w:sz w:val="22"/>
          <w:szCs w:val="22"/>
        </w:rPr>
        <w:t xml:space="preserve">Why it’s compelling: </w:t>
      </w:r>
      <w:r>
        <w:rPr>
          <w:rFonts w:ascii="Arial" w:cs="Arial" w:eastAsia="Arial" w:hAnsi="Arial"/>
          <w:color w:val="2C3E50"/>
          <w:sz w:val="22"/>
          <w:szCs w:val="22"/>
        </w:rPr>
        <w:t xml:space="preserve">Recurring revenue, territory exclusivity creates urgency (“if you don’t buy Wake County, someone else will”), and the LO feels like they own a pipeline, not just a list.</w:t>
      </w:r>
    </w:p>
    <w:p>
      <w:pPr>
        <w:spacing w:after="160" w:line="276"/>
      </w:pPr>
      <w:r>
        <w:rPr>
          <w:rFonts w:ascii="Arial" w:cs="Arial" w:eastAsia="Arial" w:hAnsi="Arial"/>
          <w:b/>
          <w:bCs/>
          <w:color w:val="2C3E50"/>
          <w:sz w:val="22"/>
          <w:szCs w:val="22"/>
        </w:rPr>
        <w:t xml:space="preserve">Why it’s Phase 3: </w:t>
      </w:r>
      <w:r>
        <w:rPr>
          <w:rFonts w:ascii="Arial" w:cs="Arial" w:eastAsia="Arial" w:hAnsi="Arial"/>
          <w:color w:val="2C3E50"/>
          <w:sz w:val="22"/>
          <w:szCs w:val="22"/>
        </w:rPr>
        <w:t xml:space="preserve">This requires proving conversion rates first. No LO will pay $999/month for unproven leads. But after 3–6 months of Model A customers seeing results, this becomes an easy upsell.</w:t>
      </w:r>
    </w:p>
    <w:p>
      <w:pPr>
        <w:pBdr>
          <w:bottom w:val="single" w:color="85C1E9" w:sz="4" w:space="1"/>
        </w:pBdr>
        <w:spacing w:after="200" w:before="200"/>
      </w:pPr>
    </w:p>
    <w:p>
      <w:pPr>
        <w:pStyle w:val="Heading1"/>
        <w:spacing w:after="200" w:before="360"/>
      </w:pPr>
      <w:r>
        <w:t xml:space="preserve">6. Solving the Affluent Borrower Problem</w:t>
      </w:r>
    </w:p>
    <w:p>
      <w:pPr>
        <w:spacing w:after="160" w:line="276"/>
      </w:pPr>
      <w:r>
        <w:rPr>
          <w:rFonts w:ascii="Arial" w:cs="Arial" w:eastAsia="Arial" w:hAnsi="Arial"/>
          <w:color w:val="2C3E50"/>
          <w:sz w:val="22"/>
          <w:szCs w:val="22"/>
        </w:rPr>
        <w:t xml:space="preserve">You’re right that mass outreach won’t work for this borrower profile. These are real estate investors with multiple properties, LLCs, and existing banking relationships. They get pitched constantly. Here’s how to handle this regardless of which model we choose.</w:t>
      </w:r>
    </w:p>
    <w:p>
      <w:pPr>
        <w:pStyle w:val="Heading3"/>
        <w:spacing w:after="200" w:before="360"/>
      </w:pPr>
      <w:r>
        <w:t xml:space="preserve">What Works with HNW Investors</w:t>
      </w:r>
    </w:p>
    <w:p>
      <w:pPr>
        <w:pStyle w:val="ListParagraph"/>
        <w:numPr>
          <w:ilvl w:val="0"/>
          <w:numId w:val="2"/>
        </w:numPr>
        <w:spacing w:after="100" w:line="276"/>
      </w:pPr>
      <w:r>
        <w:rPr>
          <w:rFonts w:ascii="Arial" w:cs="Arial" w:eastAsia="Arial" w:hAnsi="Arial"/>
          <w:b/>
          <w:bCs/>
          <w:color w:val="2C3E50"/>
          <w:sz w:val="22"/>
          <w:szCs w:val="22"/>
        </w:rPr>
        <w:t xml:space="preserve">Hyper-personalized outreach. </w:t>
      </w:r>
      <w:r>
        <w:rPr>
          <w:rFonts w:ascii="Arial" w:cs="Arial" w:eastAsia="Arial" w:hAnsi="Arial"/>
          <w:color w:val="2C3E50"/>
          <w:sz w:val="22"/>
          <w:szCs w:val="22"/>
        </w:rPr>
        <w:t xml:space="preserve">Reference their specific portfolio: “I see you’ve acquired 3 properties in Wake County through [LLC name] this year.” Our 157-field dossier makes this possible at scale.</w:t>
      </w:r>
    </w:p>
    <w:p>
      <w:pPr>
        <w:pStyle w:val="ListParagraph"/>
        <w:numPr>
          <w:ilvl w:val="0"/>
          <w:numId w:val="2"/>
        </w:numPr>
        <w:spacing w:after="100" w:line="276"/>
      </w:pPr>
      <w:r>
        <w:rPr>
          <w:rFonts w:ascii="Arial" w:cs="Arial" w:eastAsia="Arial" w:hAnsi="Arial"/>
          <w:b/>
          <w:bCs/>
          <w:color w:val="2C3E50"/>
          <w:sz w:val="22"/>
          <w:szCs w:val="22"/>
        </w:rPr>
        <w:t xml:space="preserve">Lead with value, not a pitch. </w:t>
      </w:r>
      <w:r>
        <w:rPr>
          <w:rFonts w:ascii="Arial" w:cs="Arial" w:eastAsia="Arial" w:hAnsi="Arial"/>
          <w:color w:val="2C3E50"/>
          <w:sz w:val="22"/>
          <w:szCs w:val="22"/>
        </w:rPr>
        <w:t xml:space="preserve">Offer a free portfolio analysis or DSCR rate comparison—something useful—before asking for anything.</w:t>
      </w:r>
    </w:p>
    <w:p>
      <w:pPr>
        <w:pStyle w:val="ListParagraph"/>
        <w:numPr>
          <w:ilvl w:val="0"/>
          <w:numId w:val="2"/>
        </w:numPr>
        <w:spacing w:after="100" w:line="276"/>
      </w:pPr>
      <w:r>
        <w:rPr>
          <w:rFonts w:ascii="Arial" w:cs="Arial" w:eastAsia="Arial" w:hAnsi="Arial"/>
          <w:b/>
          <w:bCs/>
          <w:color w:val="2C3E50"/>
          <w:sz w:val="22"/>
          <w:szCs w:val="22"/>
        </w:rPr>
        <w:t xml:space="preserve">Professional channel selection. </w:t>
      </w:r>
      <w:r>
        <w:rPr>
          <w:rFonts w:ascii="Arial" w:cs="Arial" w:eastAsia="Arial" w:hAnsi="Arial"/>
          <w:color w:val="2C3E50"/>
          <w:sz w:val="22"/>
          <w:szCs w:val="22"/>
        </w:rPr>
        <w:t xml:space="preserve">LinkedIn outreach converts better than email for affluent investors. Email works as a supplement, not a primary channel.</w:t>
      </w:r>
    </w:p>
    <w:p>
      <w:pPr>
        <w:pStyle w:val="ListParagraph"/>
        <w:numPr>
          <w:ilvl w:val="0"/>
          <w:numId w:val="2"/>
        </w:numPr>
        <w:spacing w:after="100" w:line="276"/>
      </w:pPr>
      <w:r>
        <w:rPr>
          <w:rFonts w:ascii="Arial" w:cs="Arial" w:eastAsia="Arial" w:hAnsi="Arial"/>
          <w:b/>
          <w:bCs/>
          <w:color w:val="2C3E50"/>
          <w:sz w:val="22"/>
          <w:szCs w:val="22"/>
        </w:rPr>
        <w:t xml:space="preserve">Referral-first strategy. </w:t>
      </w:r>
      <w:r>
        <w:rPr>
          <w:rFonts w:ascii="Arial" w:cs="Arial" w:eastAsia="Arial" w:hAnsi="Arial"/>
          <w:color w:val="2C3E50"/>
          <w:sz w:val="22"/>
          <w:szCs w:val="22"/>
        </w:rPr>
        <w:t xml:space="preserve">Property managers, CPAs, and RE attorneys who serve investors are the highest-converting introduction channel. Our data can identify which investors use the same property management companies.</w:t>
      </w:r>
    </w:p>
    <w:p>
      <w:pPr>
        <w:pStyle w:val="Heading3"/>
        <w:spacing w:after="200" w:before="360"/>
      </w:pPr>
      <w:r>
        <w:t xml:space="preserve">What Doesn’t Work</w:t>
      </w:r>
    </w:p>
    <w:p>
      <w:pPr>
        <w:pStyle w:val="ListParagraph"/>
        <w:numPr>
          <w:ilvl w:val="0"/>
          <w:numId w:val="2"/>
        </w:numPr>
        <w:spacing w:after="100" w:line="276"/>
      </w:pPr>
      <w:r>
        <w:rPr>
          <w:rFonts w:ascii="Arial" w:cs="Arial" w:eastAsia="Arial" w:hAnsi="Arial"/>
          <w:b/>
          <w:bCs/>
          <w:color w:val="2C3E50"/>
          <w:sz w:val="22"/>
          <w:szCs w:val="22"/>
        </w:rPr>
        <w:t xml:space="preserve">Cold calls to cell phones. </w:t>
      </w:r>
      <w:r>
        <w:rPr>
          <w:rFonts w:ascii="Arial" w:cs="Arial" w:eastAsia="Arial" w:hAnsi="Arial"/>
          <w:color w:val="2C3E50"/>
          <w:sz w:val="22"/>
          <w:szCs w:val="22"/>
        </w:rPr>
        <w:t xml:space="preserve">Low conversion, high TCPA risk, and affluent investors screen aggressively.</w:t>
      </w:r>
    </w:p>
    <w:p>
      <w:pPr>
        <w:pStyle w:val="ListParagraph"/>
        <w:numPr>
          <w:ilvl w:val="0"/>
          <w:numId w:val="2"/>
        </w:numPr>
        <w:spacing w:after="100" w:line="276"/>
      </w:pPr>
      <w:r>
        <w:rPr>
          <w:rFonts w:ascii="Arial" w:cs="Arial" w:eastAsia="Arial" w:hAnsi="Arial"/>
          <w:b/>
          <w:bCs/>
          <w:color w:val="2C3E50"/>
          <w:sz w:val="22"/>
          <w:szCs w:val="22"/>
        </w:rPr>
        <w:t xml:space="preserve">Generic mass email. </w:t>
      </w:r>
      <w:r>
        <w:rPr>
          <w:rFonts w:ascii="Arial" w:cs="Arial" w:eastAsia="Arial" w:hAnsi="Arial"/>
          <w:color w:val="2C3E50"/>
          <w:sz w:val="22"/>
          <w:szCs w:val="22"/>
        </w:rPr>
        <w:t xml:space="preserve">“Dear Investor, are you looking for financing?” goes straight to spam.</w:t>
      </w:r>
    </w:p>
    <w:p>
      <w:pPr>
        <w:pStyle w:val="ListParagraph"/>
        <w:numPr>
          <w:ilvl w:val="0"/>
          <w:numId w:val="2"/>
        </w:numPr>
        <w:spacing w:after="100" w:line="276"/>
      </w:pPr>
      <w:r>
        <w:rPr>
          <w:rFonts w:ascii="Arial" w:cs="Arial" w:eastAsia="Arial" w:hAnsi="Arial"/>
          <w:b/>
          <w:bCs/>
          <w:color w:val="2C3E50"/>
          <w:sz w:val="22"/>
          <w:szCs w:val="22"/>
        </w:rPr>
        <w:t xml:space="preserve">Shared leads. </w:t>
      </w:r>
      <w:r>
        <w:rPr>
          <w:rFonts w:ascii="Arial" w:cs="Arial" w:eastAsia="Arial" w:hAnsi="Arial"/>
          <w:color w:val="2C3E50"/>
          <w:sz w:val="22"/>
          <w:szCs w:val="22"/>
        </w:rPr>
        <w:t xml:space="preserve">If five LOs call the same investor, none of them close. Exclusivity matters.</w:t>
      </w:r>
    </w:p>
    <w:p>
      <w:pPr>
        <w:spacing w:after="160" w:line="276"/>
      </w:pPr>
      <w:r>
        <w:rPr>
          <w:rFonts w:ascii="Arial" w:cs="Arial" w:eastAsia="Arial" w:hAnsi="Arial"/>
          <w:b/>
          <w:bCs/>
          <w:color w:val="2C3E50"/>
          <w:sz w:val="22"/>
          <w:szCs w:val="22"/>
        </w:rPr>
        <w:t xml:space="preserve">This is actually our competitive moat. </w:t>
      </w:r>
      <w:r>
        <w:rPr>
          <w:rFonts w:ascii="Arial" w:cs="Arial" w:eastAsia="Arial" w:hAnsi="Arial"/>
          <w:color w:val="2C3E50"/>
          <w:sz w:val="22"/>
          <w:szCs w:val="22"/>
        </w:rPr>
        <w:t xml:space="preserve">Generic lead vendors can’t provide the personalization data needed to approach affluent borrowers effectively. We can. The 157-field dossier isn’t just more data—it’s the difference between a cold call and an intelligent conversation.</w:t>
      </w:r>
    </w:p>
    <w:p>
      <w:pPr>
        <w:pBdr>
          <w:bottom w:val="single" w:color="85C1E9" w:sz="4" w:space="1"/>
        </w:pBdr>
        <w:spacing w:after="200" w:before="200"/>
      </w:pPr>
    </w:p>
    <w:p>
      <w:pPr>
        <w:pStyle w:val="Heading1"/>
        <w:spacing w:after="200" w:before="360"/>
      </w:pPr>
      <w:r>
        <w:t xml:space="preserve">7. Compliance as a Selling Point, Not a Liability</w:t>
      </w:r>
    </w:p>
    <w:p>
      <w:pPr>
        <w:spacing w:after="160" w:line="276"/>
      </w:pPr>
      <w:r>
        <w:rPr>
          <w:rFonts w:ascii="Arial" w:cs="Arial" w:eastAsia="Arial" w:hAnsi="Arial"/>
          <w:color w:val="2C3E50"/>
          <w:sz w:val="22"/>
          <w:szCs w:val="22"/>
        </w:rPr>
        <w:t xml:space="preserve">The wholesale lender raised compliance as a concern. Here’s how to flip that from an objection into a differentiator.</w:t>
      </w:r>
    </w:p>
    <w:p>
      <w:pPr>
        <w:pStyle w:val="Heading3"/>
        <w:spacing w:after="200" w:before="360"/>
      </w:pPr>
      <w:r>
        <w:t xml:space="preserve">Our Legal Position (Summary)</w:t>
      </w:r>
    </w:p>
    <w:p>
      <w:pPr>
        <w:pStyle w:val="ListParagraph"/>
        <w:numPr>
          <w:ilvl w:val="0"/>
          <w:numId w:val="2"/>
        </w:numPr>
        <w:spacing w:after="100" w:line="276"/>
      </w:pPr>
      <w:r>
        <w:rPr>
          <w:rFonts w:ascii="Arial" w:cs="Arial" w:eastAsia="Arial" w:hAnsi="Arial"/>
          <w:b/>
          <w:bCs/>
          <w:color w:val="2C3E50"/>
          <w:sz w:val="22"/>
          <w:szCs w:val="22"/>
        </w:rPr>
        <w:t xml:space="preserve">Not trigger leads. </w:t>
      </w:r>
      <w:r>
        <w:rPr>
          <w:rFonts w:ascii="Arial" w:cs="Arial" w:eastAsia="Arial" w:hAnsi="Arial"/>
          <w:color w:val="2C3E50"/>
          <w:sz w:val="22"/>
          <w:szCs w:val="22"/>
        </w:rPr>
        <w:t xml:space="preserve">We don’t touch credit bureau data. Zero HPPA exposure.</w:t>
      </w:r>
    </w:p>
    <w:p>
      <w:pPr>
        <w:pStyle w:val="ListParagraph"/>
        <w:numPr>
          <w:ilvl w:val="0"/>
          <w:numId w:val="2"/>
        </w:numPr>
        <w:spacing w:after="100" w:line="276"/>
      </w:pPr>
      <w:r>
        <w:rPr>
          <w:rFonts w:ascii="Arial" w:cs="Arial" w:eastAsia="Arial" w:hAnsi="Arial"/>
          <w:b/>
          <w:bCs/>
          <w:color w:val="2C3E50"/>
          <w:sz w:val="22"/>
          <w:szCs w:val="22"/>
        </w:rPr>
        <w:t xml:space="preserve">Not a consumer report. </w:t>
      </w:r>
      <w:r>
        <w:rPr>
          <w:rFonts w:ascii="Arial" w:cs="Arial" w:eastAsia="Arial" w:hAnsi="Arial"/>
          <w:color w:val="2C3E50"/>
          <w:sz w:val="22"/>
          <w:szCs w:val="22"/>
        </w:rPr>
        <w:t xml:space="preserve">No credit scores, payment history, or account balances. Not FCRA-regulated.</w:t>
      </w:r>
    </w:p>
    <w:p>
      <w:pPr>
        <w:pStyle w:val="ListParagraph"/>
        <w:numPr>
          <w:ilvl w:val="0"/>
          <w:numId w:val="2"/>
        </w:numPr>
        <w:spacing w:after="100" w:line="276"/>
      </w:pPr>
      <w:r>
        <w:rPr>
          <w:rFonts w:ascii="Arial" w:cs="Arial" w:eastAsia="Arial" w:hAnsi="Arial"/>
          <w:b/>
          <w:bCs/>
          <w:color w:val="2C3E50"/>
          <w:sz w:val="22"/>
          <w:szCs w:val="22"/>
        </w:rPr>
        <w:t xml:space="preserve">100% public records + commercial enrichment. </w:t>
      </w:r>
      <w:r>
        <w:rPr>
          <w:rFonts w:ascii="Arial" w:cs="Arial" w:eastAsia="Arial" w:hAnsi="Arial"/>
          <w:color w:val="2C3E50"/>
          <w:sz w:val="22"/>
          <w:szCs w:val="22"/>
        </w:rPr>
        <w:t xml:space="preserve">Property records, Secretary of State filings, FEC data, HUD rent estimates—all publicly available.</w:t>
      </w:r>
    </w:p>
    <w:p>
      <w:pPr>
        <w:pStyle w:val="ListParagraph"/>
        <w:numPr>
          <w:ilvl w:val="0"/>
          <w:numId w:val="2"/>
        </w:numPr>
        <w:spacing w:after="100" w:line="276"/>
      </w:pPr>
      <w:r>
        <w:rPr>
          <w:rFonts w:ascii="Arial" w:cs="Arial" w:eastAsia="Arial" w:hAnsi="Arial"/>
          <w:b/>
          <w:bCs/>
          <w:color w:val="2C3E50"/>
          <w:sz w:val="22"/>
          <w:szCs w:val="22"/>
        </w:rPr>
        <w:t xml:space="preserve">RESPA-compliant pricing. </w:t>
      </w:r>
      <w:r>
        <w:rPr>
          <w:rFonts w:ascii="Arial" w:cs="Arial" w:eastAsia="Arial" w:hAnsi="Arial"/>
          <w:color w:val="2C3E50"/>
          <w:sz w:val="22"/>
          <w:szCs w:val="22"/>
        </w:rPr>
        <w:t xml:space="preserve">Flat per-lead pricing under Section 8(c)(2) safe harbor. No per-closed-loan fees.</w:t>
      </w:r>
    </w:p>
    <w:p>
      <w:pPr>
        <w:pStyle w:val="ListParagraph"/>
        <w:numPr>
          <w:ilvl w:val="0"/>
          <w:numId w:val="2"/>
        </w:numPr>
        <w:spacing w:after="100" w:line="276"/>
      </w:pPr>
      <w:r>
        <w:rPr>
          <w:rFonts w:ascii="Arial" w:cs="Arial" w:eastAsia="Arial" w:hAnsi="Arial"/>
          <w:b/>
          <w:bCs/>
          <w:color w:val="2C3E50"/>
          <w:sz w:val="22"/>
          <w:szCs w:val="22"/>
        </w:rPr>
        <w:t xml:space="preserve">DNC + TCPA built in. </w:t>
      </w:r>
      <w:r>
        <w:rPr>
          <w:rFonts w:ascii="Arial" w:cs="Arial" w:eastAsia="Arial" w:hAnsi="Arial"/>
          <w:color w:val="2C3E50"/>
          <w:sz w:val="22"/>
          <w:szCs w:val="22"/>
        </w:rPr>
        <w:t xml:space="preserve">Phone type validation (cell vs. landline) and DNC scrubbing happen in our pipeline before delivery.</w:t>
      </w:r>
    </w:p>
    <w:p>
      <w:pPr>
        <w:spacing w:after="160" w:line="276"/>
      </w:pPr>
      <w:r>
        <w:rPr>
          <w:rFonts w:ascii="Arial" w:cs="Arial" w:eastAsia="Arial" w:hAnsi="Arial"/>
          <w:b/>
          <w:bCs/>
          <w:color w:val="2C3E50"/>
          <w:sz w:val="22"/>
          <w:szCs w:val="22"/>
        </w:rPr>
        <w:t xml:space="preserve">How to sell this: </w:t>
      </w:r>
      <w:r>
        <w:rPr>
          <w:rFonts w:ascii="Arial" w:cs="Arial" w:eastAsia="Arial" w:hAnsi="Arial"/>
          <w:color w:val="2C3E50"/>
          <w:sz w:val="22"/>
          <w:szCs w:val="22"/>
        </w:rPr>
        <w:t xml:space="preserve">Lead every pitch with the compliance story. “With HPPA banning trigger leads in 2026, you need a compliant alternative. Our leads are sourced entirely from public property records and commercial databases—no credit bureau data, no FCRA exposure, and we handle DNC/TCPA scrubbing before you ever see the list.”</w:t>
      </w:r>
    </w:p>
    <w:p>
      <w:pPr>
        <w:spacing w:after="160" w:line="276"/>
      </w:pPr>
      <w:r>
        <w:rPr>
          <w:rFonts w:ascii="Arial" w:cs="Arial" w:eastAsia="Arial" w:hAnsi="Arial"/>
          <w:color w:val="2C3E50"/>
          <w:sz w:val="22"/>
          <w:szCs w:val="22"/>
        </w:rPr>
        <w:t xml:space="preserve">Every delivery should include the compliance one-pager you’ve already drafted. This turns a potential objection into proof of professionalism.</w:t>
      </w:r>
    </w:p>
    <w:p>
      <w:pPr>
        <w:pBdr>
          <w:bottom w:val="single" w:color="85C1E9" w:sz="4" w:space="1"/>
        </w:pBdr>
        <w:spacing w:after="200" w:before="200"/>
      </w:pPr>
    </w:p>
    <w:p>
      <w:pPr>
        <w:pStyle w:val="Heading1"/>
        <w:spacing w:after="200" w:before="360"/>
      </w:pPr>
      <w:r>
        <w:t xml:space="preserve">8. Go-to-Market Roadmap</w:t>
      </w:r>
    </w:p>
    <w:p>
      <w:pPr>
        <w:pStyle w:val="Heading2"/>
        <w:spacing w:after="200" w:before="360"/>
      </w:pPr>
      <w:r>
        <w:t xml:space="preserve">Phase 1: Prove It (Weeks 1–4)</w:t>
      </w:r>
    </w:p>
    <w:p>
      <w:pPr>
        <w:spacing w:after="16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Get 3–5 paying customers using Model A (Intelligence Packages).</w:t>
      </w:r>
    </w:p>
    <w:p>
      <w:pPr>
        <w:pStyle w:val="ListParagraph"/>
        <w:numPr>
          <w:ilvl w:val="0"/>
          <w:numId w:val="2"/>
        </w:numPr>
        <w:spacing w:after="100" w:line="276"/>
      </w:pPr>
      <w:r>
        <w:rPr>
          <w:rFonts w:ascii="Arial" w:cs="Arial" w:eastAsia="Arial" w:hAnsi="Arial"/>
          <w:b/>
          <w:bCs/>
          <w:color w:val="2C3E50"/>
          <w:sz w:val="22"/>
          <w:szCs w:val="22"/>
        </w:rPr>
        <w:t xml:space="preserve">Target buyer: </w:t>
      </w:r>
      <w:r>
        <w:rPr>
          <w:rFonts w:ascii="Arial" w:cs="Arial" w:eastAsia="Arial" w:hAnsi="Arial"/>
          <w:color w:val="2C3E50"/>
          <w:sz w:val="22"/>
          <w:szCs w:val="22"/>
        </w:rPr>
        <w:t xml:space="preserve">Individual loan officers at independent brokerages who originate DSCR loans. Find them on LinkedIn, in mortgage Facebook groups, at local RE investor meetups.</w:t>
      </w:r>
    </w:p>
    <w:p>
      <w:pPr>
        <w:pStyle w:val="ListParagraph"/>
        <w:numPr>
          <w:ilvl w:val="0"/>
          <w:numId w:val="2"/>
        </w:numPr>
        <w:spacing w:after="100" w:line="276"/>
      </w:pPr>
      <w:r>
        <w:rPr>
          <w:rFonts w:ascii="Arial" w:cs="Arial" w:eastAsia="Arial" w:hAnsi="Arial"/>
          <w:b/>
          <w:bCs/>
          <w:color w:val="2C3E50"/>
          <w:sz w:val="22"/>
          <w:szCs w:val="22"/>
        </w:rPr>
        <w:t xml:space="preserve">Offer: </w:t>
      </w:r>
      <w:r>
        <w:rPr>
          <w:rFonts w:ascii="Arial" w:cs="Arial" w:eastAsia="Arial" w:hAnsi="Arial"/>
          <w:color w:val="2C3E50"/>
          <w:sz w:val="22"/>
          <w:szCs w:val="22"/>
        </w:rPr>
        <w:t xml:space="preserve">25 leads for $500, exclusive to their county. Include the outreach playbook.</w:t>
      </w:r>
    </w:p>
    <w:p>
      <w:pPr>
        <w:pStyle w:val="ListParagraph"/>
        <w:numPr>
          <w:ilvl w:val="0"/>
          <w:numId w:val="2"/>
        </w:numPr>
        <w:spacing w:after="100" w:line="276"/>
      </w:pPr>
      <w:r>
        <w:rPr>
          <w:rFonts w:ascii="Arial" w:cs="Arial" w:eastAsia="Arial" w:hAnsi="Arial"/>
          <w:b/>
          <w:bCs/>
          <w:color w:val="2C3E50"/>
          <w:sz w:val="22"/>
          <w:szCs w:val="22"/>
        </w:rPr>
        <w:t xml:space="preserve">Close mechanism: </w:t>
      </w:r>
      <w:r>
        <w:rPr>
          <w:rFonts w:ascii="Arial" w:cs="Arial" w:eastAsia="Arial" w:hAnsi="Arial"/>
          <w:color w:val="2C3E50"/>
          <w:sz w:val="22"/>
          <w:szCs w:val="22"/>
        </w:rPr>
        <w:t xml:space="preserve">Show them 3–5 sample lead profiles (redacted contact info). Let the data quality sell itself.</w:t>
      </w:r>
    </w:p>
    <w:p>
      <w:pPr>
        <w:pStyle w:val="ListParagraph"/>
        <w:numPr>
          <w:ilvl w:val="0"/>
          <w:numId w:val="2"/>
        </w:numPr>
        <w:spacing w:after="100" w:line="276"/>
      </w:pPr>
      <w:r>
        <w:rPr>
          <w:rFonts w:ascii="Arial" w:cs="Arial" w:eastAsia="Arial" w:hAnsi="Arial"/>
          <w:b/>
          <w:bCs/>
          <w:color w:val="2C3E50"/>
          <w:sz w:val="22"/>
          <w:szCs w:val="22"/>
        </w:rPr>
        <w:t xml:space="preserve">Your partner’s role: </w:t>
      </w:r>
      <w:r>
        <w:rPr>
          <w:rFonts w:ascii="Arial" w:cs="Arial" w:eastAsia="Arial" w:hAnsi="Arial"/>
          <w:color w:val="2C3E50"/>
          <w:sz w:val="22"/>
          <w:szCs w:val="22"/>
        </w:rPr>
        <w:t xml:space="preserve">Have your LO partner be the first customer/case study. If they close one deal from the leads, that’s a testimonial worth more than any pitch.</w:t>
      </w:r>
    </w:p>
    <w:p>
      <w:pPr>
        <w:pStyle w:val="Heading2"/>
        <w:spacing w:after="200" w:before="360"/>
      </w:pPr>
      <w:r>
        <w:t xml:space="preserve">Phase 2: Scale + Matchmaker Pilot (Months 2–4)</w:t>
      </w:r>
    </w:p>
    <w:p>
      <w:pPr>
        <w:pStyle w:val="ListParagraph"/>
        <w:numPr>
          <w:ilvl w:val="0"/>
          <w:numId w:val="2"/>
        </w:numPr>
        <w:spacing w:after="100" w:line="276"/>
      </w:pPr>
      <w:r>
        <w:rPr>
          <w:rFonts w:ascii="Arial" w:cs="Arial" w:eastAsia="Arial" w:hAnsi="Arial"/>
          <w:b/>
          <w:bCs/>
          <w:color w:val="2C3E50"/>
          <w:sz w:val="22"/>
          <w:szCs w:val="22"/>
        </w:rPr>
        <w:t xml:space="preserve">Expand to 10–20 LO customers </w:t>
      </w:r>
      <w:r>
        <w:rPr>
          <w:rFonts w:ascii="Arial" w:cs="Arial" w:eastAsia="Arial" w:hAnsi="Arial"/>
          <w:color w:val="2C3E50"/>
          <w:sz w:val="22"/>
          <w:szCs w:val="22"/>
        </w:rPr>
        <w:t xml:space="preserve">across Wake County and Charlotte.</w:t>
      </w:r>
    </w:p>
    <w:p>
      <w:pPr>
        <w:pStyle w:val="ListParagraph"/>
        <w:numPr>
          <w:ilvl w:val="0"/>
          <w:numId w:val="2"/>
        </w:numPr>
        <w:spacing w:after="100" w:line="276"/>
      </w:pPr>
      <w:r>
        <w:rPr>
          <w:rFonts w:ascii="Arial" w:cs="Arial" w:eastAsia="Arial" w:hAnsi="Arial"/>
          <w:b/>
          <w:bCs/>
          <w:color w:val="2C3E50"/>
          <w:sz w:val="22"/>
          <w:szCs w:val="22"/>
        </w:rPr>
        <w:t xml:space="preserve">Pilot the Matchmaker model (Model B) </w:t>
      </w:r>
      <w:r>
        <w:rPr>
          <w:rFonts w:ascii="Arial" w:cs="Arial" w:eastAsia="Arial" w:hAnsi="Arial"/>
          <w:color w:val="2C3E50"/>
          <w:sz w:val="22"/>
          <w:szCs w:val="22"/>
        </w:rPr>
        <w:t xml:space="preserve">with 500 leads. Send personalized outreach to borrowers, book appointments, and sell them to your existing LO customers at $150–200/each.</w:t>
      </w:r>
    </w:p>
    <w:p>
      <w:pPr>
        <w:pStyle w:val="ListParagraph"/>
        <w:numPr>
          <w:ilvl w:val="0"/>
          <w:numId w:val="2"/>
        </w:numPr>
        <w:spacing w:after="100" w:line="276"/>
      </w:pPr>
      <w:r>
        <w:rPr>
          <w:rFonts w:ascii="Arial" w:cs="Arial" w:eastAsia="Arial" w:hAnsi="Arial"/>
          <w:b/>
          <w:bCs/>
          <w:color w:val="2C3E50"/>
          <w:sz w:val="22"/>
          <w:szCs w:val="22"/>
        </w:rPr>
        <w:t xml:space="preserve">Build the “DSCR Connect” brand </w:t>
      </w:r>
      <w:r>
        <w:rPr>
          <w:rFonts w:ascii="Arial" w:cs="Arial" w:eastAsia="Arial" w:hAnsi="Arial"/>
          <w:color w:val="2C3E50"/>
          <w:sz w:val="22"/>
          <w:szCs w:val="22"/>
        </w:rPr>
        <w:t xml:space="preserve">if the matchmaker pilot converts. Simple website, LinkedIn presence, positioned as an investor financing resource.</w:t>
      </w:r>
    </w:p>
    <w:p>
      <w:pPr>
        <w:pStyle w:val="Heading2"/>
        <w:spacing w:after="200" w:before="360"/>
      </w:pPr>
      <w:r>
        <w:t xml:space="preserve">Phase 3: Recurring Revenue (Months 5–8)</w:t>
      </w:r>
    </w:p>
    <w:p>
      <w:pPr>
        <w:pStyle w:val="ListParagraph"/>
        <w:numPr>
          <w:ilvl w:val="0"/>
          <w:numId w:val="2"/>
        </w:numPr>
        <w:spacing w:after="100" w:line="276"/>
      </w:pPr>
      <w:r>
        <w:rPr>
          <w:rFonts w:ascii="Arial" w:cs="Arial" w:eastAsia="Arial" w:hAnsi="Arial"/>
          <w:b/>
          <w:bCs/>
          <w:color w:val="2C3E50"/>
          <w:sz w:val="22"/>
          <w:szCs w:val="22"/>
        </w:rPr>
        <w:t xml:space="preserve">Introduce territory subscriptions (Model C) </w:t>
      </w:r>
      <w:r>
        <w:rPr>
          <w:rFonts w:ascii="Arial" w:cs="Arial" w:eastAsia="Arial" w:hAnsi="Arial"/>
          <w:color w:val="2C3E50"/>
          <w:sz w:val="22"/>
          <w:szCs w:val="22"/>
        </w:rPr>
        <w:t xml:space="preserve">to proven customers.</w:t>
      </w:r>
    </w:p>
    <w:p>
      <w:pPr>
        <w:pStyle w:val="ListParagraph"/>
        <w:numPr>
          <w:ilvl w:val="0"/>
          <w:numId w:val="2"/>
        </w:numPr>
        <w:spacing w:after="100" w:line="276"/>
      </w:pPr>
      <w:r>
        <w:rPr>
          <w:rFonts w:ascii="Arial" w:cs="Arial" w:eastAsia="Arial" w:hAnsi="Arial"/>
          <w:b/>
          <w:bCs/>
          <w:color w:val="2C3E50"/>
          <w:sz w:val="22"/>
          <w:szCs w:val="22"/>
        </w:rPr>
        <w:t xml:space="preserve">Deploy in new markets </w:t>
      </w:r>
      <w:r>
        <w:rPr>
          <w:rFonts w:ascii="Arial" w:cs="Arial" w:eastAsia="Arial" w:hAnsi="Arial"/>
          <w:color w:val="2C3E50"/>
          <w:sz w:val="22"/>
          <w:szCs w:val="22"/>
        </w:rPr>
        <w:t xml:space="preserve">using the portable pipeline (Florida data is already built).</w:t>
      </w:r>
    </w:p>
    <w:p>
      <w:pPr>
        <w:pStyle w:val="ListParagraph"/>
        <w:numPr>
          <w:ilvl w:val="0"/>
          <w:numId w:val="2"/>
        </w:numPr>
        <w:spacing w:after="100" w:line="276"/>
      </w:pPr>
      <w:r>
        <w:rPr>
          <w:rFonts w:ascii="Arial" w:cs="Arial" w:eastAsia="Arial" w:hAnsi="Arial"/>
          <w:b/>
          <w:bCs/>
          <w:color w:val="2C3E50"/>
          <w:sz w:val="22"/>
          <w:szCs w:val="22"/>
        </w:rPr>
        <w:t xml:space="preserve">Revenue target: </w:t>
      </w:r>
      <w:r>
        <w:rPr>
          <w:rFonts w:ascii="Arial" w:cs="Arial" w:eastAsia="Arial" w:hAnsi="Arial"/>
          <w:color w:val="2C3E50"/>
          <w:sz w:val="22"/>
          <w:szCs w:val="22"/>
        </w:rPr>
        <w:t xml:space="preserve">$5K–10K/month recurring from 10–20 subscription customers.</w:t>
      </w:r>
    </w:p>
    <w:p>
      <w:pPr>
        <w:pBdr>
          <w:bottom w:val="single" w:color="85C1E9" w:sz="4" w:space="1"/>
        </w:pBdr>
        <w:spacing w:after="200" w:before="200"/>
      </w:pPr>
    </w:p>
    <w:p>
      <w:pPr>
        <w:pStyle w:val="Heading1"/>
        <w:spacing w:after="200" w:before="360"/>
      </w:pPr>
      <w:r>
        <w:t xml:space="preserve">9. Unit Economics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 A</w:t>
            </w:r>
          </w:p>
        </w:tc>
        <w:tc>
          <w:tcPr>
            <w:tcW w:type="dxa" w:w="2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 B</w:t>
            </w:r>
          </w:p>
        </w:tc>
        <w:tc>
          <w:tcPr>
            <w:tcW w:type="dxa" w:w="2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 C</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Revenue per unit</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$10–20/lead</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$150–300/appt</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$999/mo/territory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Cost per unit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~$0.01</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~$0.50 (incl. email)</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~$5–10 refresh</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Gross margin</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97%+</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Time investment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Low (pipeline + delivery)</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Medium (outreach ops)</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Low (monthly refresh)</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Customers needed for $5K/mo</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10–20 LOs</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17–33 appts/mo</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 territories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Behind-the-scenes?</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Yes</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F39C12"/>
                <w:sz w:val="20"/>
                <w:szCs w:val="20"/>
              </w:rPr>
              <w:t xml:space="preserve">Mostly</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Yes</w:t>
            </w:r>
          </w:p>
        </w:tc>
      </w:tr>
    </w:tbl>
    <w:p>
      <w:pPr>
        <w:spacing w:after="160" w:line="276"/>
      </w:pPr>
      <w:r>
        <w:rPr>
          <w:rFonts w:ascii="Arial" w:cs="Arial" w:eastAsia="Arial" w:hAnsi="Arial"/>
          <w:color w:val="2C3E50"/>
          <w:sz w:val="22"/>
          <w:szCs w:val="22"/>
        </w:rPr>
        <w:t xml:space="preserve"/>
      </w:r>
    </w:p>
    <w:p>
      <w:pPr>
        <w:pBdr>
          <w:bottom w:val="single" w:color="85C1E9" w:sz="4" w:space="1"/>
        </w:pBdr>
        <w:spacing w:after="200" w:before="200"/>
      </w:pPr>
    </w:p>
    <w:p>
      <w:pPr>
        <w:pStyle w:val="Heading1"/>
        <w:spacing w:after="200" w:before="360"/>
      </w:pPr>
      <w:r>
        <w:t xml:space="preserve">10. Recommended Next Steps</w:t>
      </w:r>
    </w:p>
    <w:p>
      <w:pPr>
        <w:spacing w:after="160" w:line="276"/>
      </w:pPr>
      <w:r>
        <w:rPr>
          <w:rFonts w:ascii="Arial" w:cs="Arial" w:eastAsia="Arial" w:hAnsi="Arial"/>
          <w:color w:val="2C3E50"/>
          <w:sz w:val="22"/>
          <w:szCs w:val="22"/>
        </w:rPr>
        <w:t xml:space="preserve">Here’s what to do this week and this month, in priority order.</w:t>
      </w:r>
    </w:p>
    <w:p>
      <w:pPr>
        <w:pStyle w:val="Heading3"/>
        <w:spacing w:after="200" w:before="360"/>
      </w:pPr>
      <w:r>
        <w:t xml:space="preserve">This Week</w:t>
      </w:r>
    </w:p>
    <w:p>
      <w:pPr>
        <w:pStyle w:val="ListParagraph"/>
        <w:numPr>
          <w:ilvl w:val="0"/>
          <w:numId w:val="3"/>
        </w:numPr>
        <w:spacing w:after="100" w:line="276"/>
      </w:pPr>
      <w:r>
        <w:rPr>
          <w:rFonts w:ascii="Arial" w:cs="Arial" w:eastAsia="Arial" w:hAnsi="Arial"/>
          <w:b/>
          <w:bCs/>
          <w:color w:val="2C3E50"/>
          <w:sz w:val="22"/>
          <w:szCs w:val="22"/>
        </w:rPr>
        <w:t xml:space="preserve">Don’t pitch wholesale lenders again. </w:t>
      </w:r>
      <w:r>
        <w:rPr>
          <w:rFonts w:ascii="Arial" w:cs="Arial" w:eastAsia="Arial" w:hAnsi="Arial"/>
          <w:color w:val="2C3E50"/>
          <w:sz w:val="22"/>
          <w:szCs w:val="22"/>
        </w:rPr>
        <w:t xml:space="preserve">Cross them off the list. Your buyers are individual LOs and small brokerages.</w:t>
      </w:r>
    </w:p>
    <w:p>
      <w:pPr>
        <w:pStyle w:val="ListParagraph"/>
        <w:numPr>
          <w:ilvl w:val="0"/>
          <w:numId w:val="3"/>
        </w:numPr>
        <w:spacing w:after="100" w:line="276"/>
      </w:pPr>
      <w:r>
        <w:rPr>
          <w:rFonts w:ascii="Arial" w:cs="Arial" w:eastAsia="Arial" w:hAnsi="Arial"/>
          <w:b/>
          <w:bCs/>
          <w:color w:val="2C3E50"/>
          <w:sz w:val="22"/>
          <w:szCs w:val="22"/>
        </w:rPr>
        <w:t xml:space="preserve">Have your LO partner work 25 leads from the NC pipeline. </w:t>
      </w:r>
      <w:r>
        <w:rPr>
          <w:rFonts w:ascii="Arial" w:cs="Arial" w:eastAsia="Arial" w:hAnsi="Arial"/>
          <w:color w:val="2C3E50"/>
          <w:sz w:val="22"/>
          <w:szCs w:val="22"/>
        </w:rPr>
        <w:t xml:space="preserve">This is your proof of concept. Track their outreach method, response rate, and any appointments or deals.</w:t>
      </w:r>
    </w:p>
    <w:p>
      <w:pPr>
        <w:pStyle w:val="ListParagraph"/>
        <w:numPr>
          <w:ilvl w:val="0"/>
          <w:numId w:val="3"/>
        </w:numPr>
        <w:spacing w:after="100" w:line="276"/>
      </w:pPr>
      <w:r>
        <w:rPr>
          <w:rFonts w:ascii="Arial" w:cs="Arial" w:eastAsia="Arial" w:hAnsi="Arial"/>
          <w:b/>
          <w:bCs/>
          <w:color w:val="2C3E50"/>
          <w:sz w:val="22"/>
          <w:szCs w:val="22"/>
        </w:rPr>
        <w:t xml:space="preserve">Build a sample lead package (5 redacted profiles). </w:t>
      </w:r>
      <w:r>
        <w:rPr>
          <w:rFonts w:ascii="Arial" w:cs="Arial" w:eastAsia="Arial" w:hAnsi="Arial"/>
          <w:color w:val="2C3E50"/>
          <w:sz w:val="22"/>
          <w:szCs w:val="22"/>
        </w:rPr>
        <w:t xml:space="preserve">This is your sales collateral. Show the depth of data, the scoring, and the outreach angle for each lead.</w:t>
      </w:r>
    </w:p>
    <w:p>
      <w:pPr>
        <w:pStyle w:val="ListParagraph"/>
        <w:numPr>
          <w:ilvl w:val="0"/>
          <w:numId w:val="3"/>
        </w:numPr>
        <w:spacing w:after="100" w:line="276"/>
      </w:pPr>
      <w:r>
        <w:rPr>
          <w:rFonts w:ascii="Arial" w:cs="Arial" w:eastAsia="Arial" w:hAnsi="Arial"/>
          <w:b/>
          <w:bCs/>
          <w:color w:val="2C3E50"/>
          <w:sz w:val="22"/>
          <w:szCs w:val="22"/>
        </w:rPr>
        <w:t xml:space="preserve">Find 10 DSCR loan officers on LinkedIn. </w:t>
      </w:r>
      <w:r>
        <w:rPr>
          <w:rFonts w:ascii="Arial" w:cs="Arial" w:eastAsia="Arial" w:hAnsi="Arial"/>
          <w:color w:val="2C3E50"/>
          <w:sz w:val="22"/>
          <w:szCs w:val="22"/>
        </w:rPr>
        <w:t xml:space="preserve">Search for “DSCR” or “investor lending” in their profiles. Send a simple message: “I source exclusive investor leads with full portfolio intelligence for DSCR lenders. Interested in seeing a sample?”</w:t>
      </w:r>
    </w:p>
    <w:p>
      <w:pPr>
        <w:pStyle w:val="Heading3"/>
        <w:spacing w:after="200" w:before="360"/>
      </w:pPr>
      <w:r>
        <w:t xml:space="preserve">This Month</w:t>
      </w:r>
    </w:p>
    <w:p>
      <w:pPr>
        <w:pStyle w:val="ListParagraph"/>
        <w:numPr>
          <w:ilvl w:val="0"/>
          <w:numId w:val="4"/>
        </w:numPr>
        <w:spacing w:after="100" w:line="276"/>
      </w:pPr>
      <w:r>
        <w:rPr>
          <w:rFonts w:ascii="Arial" w:cs="Arial" w:eastAsia="Arial" w:hAnsi="Arial"/>
          <w:b/>
          <w:bCs/>
          <w:color w:val="2C3E50"/>
          <w:sz w:val="22"/>
          <w:szCs w:val="22"/>
        </w:rPr>
        <w:t xml:space="preserve">Close 3–5 paying customers at $500/25 leads. </w:t>
      </w:r>
      <w:r>
        <w:rPr>
          <w:rFonts w:ascii="Arial" w:cs="Arial" w:eastAsia="Arial" w:hAnsi="Arial"/>
          <w:color w:val="2C3E50"/>
          <w:sz w:val="22"/>
          <w:szCs w:val="22"/>
        </w:rPr>
        <w:t xml:space="preserve">That’s $1,500–2,500 revenue from ~$1.25 in lead cost. Proof of concept achieved.</w:t>
      </w:r>
    </w:p>
    <w:p>
      <w:pPr>
        <w:pStyle w:val="ListParagraph"/>
        <w:numPr>
          <w:ilvl w:val="0"/>
          <w:numId w:val="4"/>
        </w:numPr>
        <w:spacing w:after="100" w:line="276"/>
      </w:pPr>
      <w:r>
        <w:rPr>
          <w:rFonts w:ascii="Arial" w:cs="Arial" w:eastAsia="Arial" w:hAnsi="Arial"/>
          <w:b/>
          <w:bCs/>
          <w:color w:val="2C3E50"/>
          <w:sz w:val="22"/>
          <w:szCs w:val="22"/>
        </w:rPr>
        <w:t xml:space="preserve">Collect feedback on lead quality. </w:t>
      </w:r>
      <w:r>
        <w:rPr>
          <w:rFonts w:ascii="Arial" w:cs="Arial" w:eastAsia="Arial" w:hAnsi="Arial"/>
          <w:color w:val="2C3E50"/>
          <w:sz w:val="22"/>
          <w:szCs w:val="22"/>
        </w:rPr>
        <w:t xml:space="preserve">Which leads converted to conversations? Which didn’t? This refines the scoring model.</w:t>
      </w:r>
    </w:p>
    <w:p>
      <w:pPr>
        <w:pStyle w:val="ListParagraph"/>
        <w:numPr>
          <w:ilvl w:val="0"/>
          <w:numId w:val="4"/>
        </w:numPr>
        <w:spacing w:after="100" w:line="276"/>
      </w:pPr>
      <w:r>
        <w:rPr>
          <w:rFonts w:ascii="Arial" w:cs="Arial" w:eastAsia="Arial" w:hAnsi="Arial"/>
          <w:b/>
          <w:bCs/>
          <w:color w:val="2C3E50"/>
          <w:sz w:val="22"/>
          <w:szCs w:val="22"/>
        </w:rPr>
        <w:t xml:space="preserve">Draft a simple landing page. </w:t>
      </w:r>
      <w:r>
        <w:rPr>
          <w:rFonts w:ascii="Arial" w:cs="Arial" w:eastAsia="Arial" w:hAnsi="Arial"/>
          <w:color w:val="2C3E50"/>
          <w:sz w:val="22"/>
          <w:szCs w:val="22"/>
        </w:rPr>
        <w:t xml:space="preserve">Doesn’t need to be fancy. “DSCR investor leads with 157-point intelligence profiles. Exclusive by county. Starting at $500/month.”</w:t>
      </w:r>
    </w:p>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Bottom line: </w:t>
      </w:r>
      <w:r>
        <w:rPr>
          <w:rFonts w:ascii="Arial" w:cs="Arial" w:eastAsia="Arial" w:hAnsi="Arial"/>
          <w:color w:val="2C3E50"/>
          <w:sz w:val="22"/>
          <w:szCs w:val="22"/>
        </w:rPr>
        <w:t xml:space="preserve">One rejection from the wrong buyer type doesn’t invalidate the product. The data is strong, the margin is enormous, and the DSCR market is actively looking for alternatives to trigger leads. The next step is getting this in front of individual loan officers who will actually use it—and letting the results speak for themselves.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D6D7E"/>
        <w:sz w:val="16"/>
        <w:szCs w:val="16"/>
      </w:rPr>
      <w:t xml:space="preserve">DSCR Lead Gen  —  Go-to-Market Strategy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jc w:val="right"/>
    </w:pPr>
    <w:r>
      <w:rPr>
        <w:rFonts w:ascii="Arial" w:cs="Arial" w:eastAsia="Arial" w:hAnsi="Arial"/>
        <w:i/>
        <w:iCs/>
        <w:color w:val="5D6D7E"/>
        <w:sz w:val="16"/>
        <w:szCs w:val="16"/>
      </w:rPr>
      <w:t xml:space="preserve">CONFIDENTIAL  |  Still Mind Creative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2026-03-19T20:38:16.100Z</dcterms:created>
  <dcterms:modified xsi:type="dcterms:W3CDTF">2026-03-19T20:38:16.101Z</dcterms:modified>
</cp:coreProperties>
</file>

<file path=docProps/custom.xml><?xml version="1.0" encoding="utf-8"?>
<Properties xmlns="http://schemas.openxmlformats.org/officeDocument/2006/custom-properties" xmlns:vt="http://schemas.openxmlformats.org/officeDocument/2006/docPropsVTypes"/>
</file>