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6B145E" w14:textId="6491AB2E" w:rsidR="008E5991" w:rsidRPr="004B194E" w:rsidRDefault="00000000" w:rsidP="0000333D">
      <w:pPr>
        <w:spacing w:after="120"/>
        <w:jc w:val="both"/>
        <w:rPr>
          <w:rFonts w:ascii="Times New Roman" w:hAnsi="Times New Roman" w:cs="Times New Roman"/>
          <w:color w:val="000000" w:themeColor="text1"/>
        </w:rPr>
      </w:pPr>
      <w:bookmarkStart w:id="0" w:name="_Hlk213070447"/>
      <w:r w:rsidRPr="004B194E">
        <w:rPr>
          <w:rFonts w:ascii="Times New Roman" w:hAnsi="Times New Roman" w:cs="Times New Roman"/>
          <w:b/>
          <w:color w:val="000000" w:themeColor="text1"/>
        </w:rPr>
        <w:t>Comprehensive Country Analysis: Economic Overview, Infrastructure Opportunities &amp; Public-Private Partnership Framework</w:t>
      </w:r>
    </w:p>
    <w:p w14:paraId="55F947EB" w14:textId="77777777" w:rsidR="008E5991" w:rsidRPr="004B194E" w:rsidRDefault="008E5991" w:rsidP="0000333D">
      <w:pPr>
        <w:spacing w:before="120" w:after="120"/>
        <w:jc w:val="both"/>
        <w:rPr>
          <w:rFonts w:ascii="Times New Roman" w:hAnsi="Times New Roman" w:cs="Times New Roman"/>
          <w:color w:val="000000" w:themeColor="text1"/>
        </w:rPr>
      </w:pPr>
    </w:p>
    <w:p w14:paraId="5748E041" w14:textId="77777777" w:rsidR="008E5991" w:rsidRPr="004B194E" w:rsidRDefault="00000000" w:rsidP="0000333D">
      <w:pPr>
        <w:pStyle w:val="Heading1"/>
        <w:jc w:val="both"/>
      </w:pPr>
      <w:r w:rsidRPr="004B194E">
        <w:t>EXECUTIVE SUMMARY</w:t>
      </w:r>
    </w:p>
    <w:p w14:paraId="21D00E4F"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This comprehensive market intelligence report provides an in-depth analysis of Uzbekistan's economic transformation, infrastructure development opportunities, and investment climate. The report synthesizes findings from three authoritative sources: the International Monetary Fund's 2025 Article IV Consultation, the European Bank for Reconstruction and Development's Country Strategy 2024-2029, and Meridian Universal's Infrastructure Market Intelligence assessment.</w:t>
      </w:r>
    </w:p>
    <w:p w14:paraId="45C1A75E"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Key Highlights:</w:t>
      </w:r>
    </w:p>
    <w:p w14:paraId="313EA39B"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Economic Performance: Real GDP growth of 6.5% (2024), projected at 5.9% (2025) and 5.8% (2026)</w:t>
      </w:r>
    </w:p>
    <w:p w14:paraId="4B173EB6"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Market Size: Nominal GDP of USD 113 billion (2024), growing to USD 147 billion by 2026</w:t>
      </w:r>
    </w:p>
    <w:p w14:paraId="55CD97F2"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Population: 36.9 million (2024) with 45% under age 25</w:t>
      </w:r>
    </w:p>
    <w:p w14:paraId="4B4AF1DC"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Infrastructure Pipeline: USD 31 billion PPP portfolio (~27% of GDP), expanding to 34% of GDP by 2030</w:t>
      </w:r>
    </w:p>
    <w:p w14:paraId="152D61B0"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Credit Ratings: Moody's Ba3 / S&amp;P BB- / Fitch BB (all stable outlook)</w:t>
      </w:r>
    </w:p>
    <w:p w14:paraId="09094B79"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Reform Momentum: Remarkable transformation since 2017 currency liberalization and market-oriented reforms</w:t>
      </w:r>
    </w:p>
    <w:p w14:paraId="44A10CB7"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Uzbekistan presents significant opportunities in transport infrastructure, renewable energy, urban services, and digital connectivity, underpinned by a robust PPP legal framework and strong multilateral development bank support.</w:t>
      </w:r>
    </w:p>
    <w:p w14:paraId="7171A550" w14:textId="77777777" w:rsidR="008E5991" w:rsidRPr="004B194E" w:rsidRDefault="008E5991" w:rsidP="0000333D">
      <w:pPr>
        <w:spacing w:before="120" w:after="120"/>
        <w:jc w:val="both"/>
        <w:rPr>
          <w:rFonts w:ascii="Times New Roman" w:hAnsi="Times New Roman" w:cs="Times New Roman"/>
          <w:color w:val="000000" w:themeColor="text1"/>
        </w:rPr>
      </w:pPr>
    </w:p>
    <w:p w14:paraId="4D668692" w14:textId="77777777" w:rsidR="009A43C6" w:rsidRDefault="009A43C6" w:rsidP="0000333D">
      <w:pPr>
        <w:pStyle w:val="Heading1"/>
        <w:jc w:val="both"/>
        <w:sectPr w:rsidR="009A43C6" w:rsidSect="00034616">
          <w:pgSz w:w="12240" w:h="15840"/>
          <w:pgMar w:top="1440" w:right="1800" w:bottom="1440" w:left="1800" w:header="720" w:footer="720" w:gutter="0"/>
          <w:cols w:space="720"/>
          <w:docGrid w:linePitch="360"/>
        </w:sectPr>
      </w:pPr>
    </w:p>
    <w:p w14:paraId="45EDB083" w14:textId="77777777" w:rsidR="00370114" w:rsidRPr="004B6B77" w:rsidRDefault="00370114" w:rsidP="0000333D">
      <w:pPr>
        <w:pStyle w:val="Heading1"/>
        <w:jc w:val="both"/>
      </w:pPr>
      <w:r w:rsidRPr="004B6B77">
        <w:lastRenderedPageBreak/>
        <w:t>TABLE OF CONTENTS</w:t>
      </w:r>
    </w:p>
    <w:p w14:paraId="4A996A74" w14:textId="77777777" w:rsidR="00370114" w:rsidRPr="004B6B77" w:rsidRDefault="00370114" w:rsidP="0000333D">
      <w:pPr>
        <w:spacing w:after="160"/>
        <w:jc w:val="both"/>
      </w:pPr>
      <w:r w:rsidRPr="004B6B77">
        <w:t>1. [Macroeconomic Overview]</w:t>
      </w:r>
    </w:p>
    <w:p w14:paraId="7A95CE50" w14:textId="77777777" w:rsidR="00370114" w:rsidRPr="004B6B77" w:rsidRDefault="00370114" w:rsidP="0000333D">
      <w:pPr>
        <w:spacing w:after="160"/>
        <w:jc w:val="both"/>
      </w:pPr>
      <w:r w:rsidRPr="004B6B77">
        <w:t>2. [Economic Policy Framework]</w:t>
      </w:r>
    </w:p>
    <w:p w14:paraId="6018BBA9" w14:textId="77777777" w:rsidR="00370114" w:rsidRPr="004B6B77" w:rsidRDefault="00370114" w:rsidP="0000333D">
      <w:pPr>
        <w:spacing w:after="160"/>
        <w:jc w:val="both"/>
      </w:pPr>
      <w:r w:rsidRPr="004B6B77">
        <w:t>3. [Fiscal and Debt Analysis]</w:t>
      </w:r>
    </w:p>
    <w:p w14:paraId="2FE4321D" w14:textId="77777777" w:rsidR="00370114" w:rsidRPr="004B6B77" w:rsidRDefault="00370114" w:rsidP="0000333D">
      <w:pPr>
        <w:spacing w:after="160"/>
        <w:jc w:val="both"/>
      </w:pPr>
      <w:r w:rsidRPr="004B6B77">
        <w:t>4. [External Sector Performance</w:t>
      </w:r>
      <w:r>
        <w:t>]</w:t>
      </w:r>
    </w:p>
    <w:p w14:paraId="606355B4" w14:textId="77777777" w:rsidR="00370114" w:rsidRPr="004B6B77" w:rsidRDefault="00370114" w:rsidP="0000333D">
      <w:pPr>
        <w:spacing w:after="160"/>
        <w:jc w:val="both"/>
      </w:pPr>
      <w:r w:rsidRPr="004B6B77">
        <w:t>5. [Monetary and Financial Sector]</w:t>
      </w:r>
    </w:p>
    <w:p w14:paraId="5DDBCC0E" w14:textId="77777777" w:rsidR="00370114" w:rsidRPr="004B6B77" w:rsidRDefault="00370114" w:rsidP="0000333D">
      <w:pPr>
        <w:spacing w:after="160"/>
        <w:jc w:val="both"/>
      </w:pPr>
      <w:r w:rsidRPr="004B6B77">
        <w:t>6. [Development Priorities and Structural Reforms]</w:t>
      </w:r>
    </w:p>
    <w:p w14:paraId="543023FB" w14:textId="77777777" w:rsidR="00370114" w:rsidRPr="004B6B77" w:rsidRDefault="00370114" w:rsidP="0000333D">
      <w:pPr>
        <w:spacing w:after="160"/>
        <w:jc w:val="both"/>
      </w:pPr>
      <w:r w:rsidRPr="004B6B77">
        <w:t>7. [Infrastructure Sector Analysis]</w:t>
      </w:r>
    </w:p>
    <w:p w14:paraId="55E1276E" w14:textId="77777777" w:rsidR="00370114" w:rsidRPr="004B6B77" w:rsidRDefault="00370114" w:rsidP="0000333D">
      <w:pPr>
        <w:spacing w:after="160"/>
        <w:jc w:val="both"/>
      </w:pPr>
      <w:r w:rsidRPr="004B6B77">
        <w:t>8. [Public-Private Partnership Framework</w:t>
      </w:r>
      <w:r>
        <w:t>]</w:t>
      </w:r>
    </w:p>
    <w:p w14:paraId="39B2793C" w14:textId="77777777" w:rsidR="00370114" w:rsidRPr="004B6B77" w:rsidRDefault="00370114" w:rsidP="0000333D">
      <w:pPr>
        <w:spacing w:after="160"/>
        <w:jc w:val="both"/>
      </w:pPr>
      <w:r w:rsidRPr="004B6B77">
        <w:t>9. [Investment Climate and Business Environment]</w:t>
      </w:r>
    </w:p>
    <w:p w14:paraId="0EE1B736" w14:textId="77777777" w:rsidR="00370114" w:rsidRPr="004B6B77" w:rsidRDefault="00370114" w:rsidP="0000333D">
      <w:pPr>
        <w:spacing w:after="160"/>
        <w:jc w:val="both"/>
      </w:pPr>
      <w:r w:rsidRPr="004B6B77">
        <w:t>10. [Risk Assessment]</w:t>
      </w:r>
    </w:p>
    <w:p w14:paraId="043E3FE1" w14:textId="77777777" w:rsidR="00370114" w:rsidRPr="004B6B77" w:rsidRDefault="00370114" w:rsidP="0000333D">
      <w:pPr>
        <w:spacing w:after="160"/>
        <w:jc w:val="both"/>
      </w:pPr>
      <w:r w:rsidRPr="004B6B77">
        <w:t>11. [Financing Landscape]</w:t>
      </w:r>
    </w:p>
    <w:p w14:paraId="6325431F" w14:textId="77777777" w:rsidR="00370114" w:rsidRPr="004B6B77" w:rsidRDefault="00370114" w:rsidP="0000333D">
      <w:pPr>
        <w:spacing w:after="160"/>
        <w:jc w:val="both"/>
      </w:pPr>
      <w:r w:rsidRPr="004B6B77">
        <w:t>12. [Flagship Projects</w:t>
      </w:r>
      <w:r>
        <w:t>]</w:t>
      </w:r>
    </w:p>
    <w:p w14:paraId="278CF8CB" w14:textId="77777777" w:rsidR="00370114" w:rsidRPr="004B6B77" w:rsidRDefault="00370114" w:rsidP="0000333D">
      <w:pPr>
        <w:spacing w:after="160"/>
        <w:jc w:val="both"/>
      </w:pPr>
      <w:r w:rsidRPr="004B6B77">
        <w:t>13. [Conclusions and Recommendations]</w:t>
      </w:r>
    </w:p>
    <w:p w14:paraId="7FA08DA2" w14:textId="77777777" w:rsidR="009A43C6" w:rsidRDefault="009A43C6" w:rsidP="0000333D">
      <w:pPr>
        <w:pStyle w:val="Heading1"/>
        <w:jc w:val="both"/>
        <w:sectPr w:rsidR="009A43C6" w:rsidSect="00034616">
          <w:pgSz w:w="12240" w:h="15840"/>
          <w:pgMar w:top="1440" w:right="1800" w:bottom="1440" w:left="1800" w:header="720" w:footer="720" w:gutter="0"/>
          <w:cols w:space="720"/>
          <w:docGrid w:linePitch="360"/>
        </w:sectPr>
      </w:pPr>
    </w:p>
    <w:p w14:paraId="6476A2BB" w14:textId="77777777" w:rsidR="008E5991" w:rsidRPr="004B194E" w:rsidRDefault="00000000" w:rsidP="0000333D">
      <w:pPr>
        <w:pStyle w:val="Heading1"/>
        <w:jc w:val="both"/>
      </w:pPr>
      <w:r w:rsidRPr="004B194E">
        <w:lastRenderedPageBreak/>
        <w:t>1. MACROECONOMIC OVERVIEW</w:t>
      </w:r>
    </w:p>
    <w:p w14:paraId="364DC1CA"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1.1 Economic Transformation Since 2017</w:t>
      </w:r>
    </w:p>
    <w:p w14:paraId="601044C3"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Uzbekistan has undergone a remarkable economic transformation since 2017, catalyzed by far-reaching reforms initiated under President Mirziyoyev's administration. The centerpiece of this transformation was the September 2017 exchange rate unification, which devalued the currency by approximately 48% overnight, ending the dual exchange-rate regime that had constrained investment and trade for decades.</w:t>
      </w:r>
    </w:p>
    <w:p w14:paraId="6B2AD9A2"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This bold reform, combined with the elimination of exchange restrictions, liberalization of trade, price liberalization for most goods and services, and removal of mandatory export proceeds surrender, fundamentally transformed Uzbekistan's economic landscape. The reforms enabled full currency convertibility and repatriation rights for businesses and investors, removing a major constraint on foreign direct investment.</w:t>
      </w:r>
    </w:p>
    <w:p w14:paraId="65EC1229"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1.2 Growth Performance</w:t>
      </w:r>
    </w:p>
    <w:p w14:paraId="2C81A7E8"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Table 1: Real GDP Growth Performance and Projections</w:t>
      </w:r>
    </w:p>
    <w:tbl>
      <w:tblPr>
        <w:tblStyle w:val="LightGrid-Accent1"/>
        <w:tblW w:w="0" w:type="auto"/>
        <w:tblLook w:val="04A0" w:firstRow="1" w:lastRow="0" w:firstColumn="1" w:lastColumn="0" w:noHBand="0" w:noVBand="1"/>
      </w:tblPr>
      <w:tblGrid>
        <w:gridCol w:w="2880"/>
        <w:gridCol w:w="2880"/>
        <w:gridCol w:w="2880"/>
      </w:tblGrid>
      <w:tr w:rsidR="004B194E" w:rsidRPr="004B194E" w14:paraId="6EF68DAF" w14:textId="77777777" w:rsidTr="008E5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13302C"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Period</w:t>
            </w:r>
          </w:p>
        </w:tc>
        <w:tc>
          <w:tcPr>
            <w:tcW w:w="2880" w:type="dxa"/>
          </w:tcPr>
          <w:p w14:paraId="4C2BC700"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Real GDP Growth</w:t>
            </w:r>
          </w:p>
        </w:tc>
        <w:tc>
          <w:tcPr>
            <w:tcW w:w="2880" w:type="dxa"/>
          </w:tcPr>
          <w:p w14:paraId="467E1B9F"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Key Drivers</w:t>
            </w:r>
          </w:p>
        </w:tc>
      </w:tr>
      <w:tr w:rsidR="004B194E" w:rsidRPr="004B194E" w14:paraId="77BEA255"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A65423"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2018-2023 Average</w:t>
            </w:r>
          </w:p>
        </w:tc>
        <w:tc>
          <w:tcPr>
            <w:tcW w:w="2880" w:type="dxa"/>
          </w:tcPr>
          <w:p w14:paraId="1EF66303"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5.7%</w:t>
            </w:r>
          </w:p>
        </w:tc>
        <w:tc>
          <w:tcPr>
            <w:tcW w:w="2880" w:type="dxa"/>
          </w:tcPr>
          <w:p w14:paraId="6D412894"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Post-reform surge, favorable commodity prices, strong remittances</w:t>
            </w:r>
          </w:p>
        </w:tc>
      </w:tr>
      <w:tr w:rsidR="004B194E" w:rsidRPr="004B194E" w14:paraId="4233F595"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669EB9"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2022</w:t>
            </w:r>
          </w:p>
        </w:tc>
        <w:tc>
          <w:tcPr>
            <w:tcW w:w="2880" w:type="dxa"/>
          </w:tcPr>
          <w:p w14:paraId="66E4052F"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6.0%</w:t>
            </w:r>
          </w:p>
        </w:tc>
        <w:tc>
          <w:tcPr>
            <w:tcW w:w="2880" w:type="dxa"/>
          </w:tcPr>
          <w:p w14:paraId="54A7BE14"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Robust domestic demand, construction boom</w:t>
            </w:r>
          </w:p>
        </w:tc>
      </w:tr>
      <w:tr w:rsidR="004B194E" w:rsidRPr="004B194E" w14:paraId="48CDB370"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E6139AE"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2023</w:t>
            </w:r>
          </w:p>
        </w:tc>
        <w:tc>
          <w:tcPr>
            <w:tcW w:w="2880" w:type="dxa"/>
          </w:tcPr>
          <w:p w14:paraId="52EEBF45"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6.3%</w:t>
            </w:r>
          </w:p>
        </w:tc>
        <w:tc>
          <w:tcPr>
            <w:tcW w:w="2880" w:type="dxa"/>
          </w:tcPr>
          <w:p w14:paraId="2C2CABF5"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Broad-based sectoral growth, FDI inflows</w:t>
            </w:r>
          </w:p>
        </w:tc>
      </w:tr>
      <w:tr w:rsidR="004B194E" w:rsidRPr="004B194E" w14:paraId="372927C1"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69BCF0"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2024 (Est.)</w:t>
            </w:r>
          </w:p>
        </w:tc>
        <w:tc>
          <w:tcPr>
            <w:tcW w:w="2880" w:type="dxa"/>
          </w:tcPr>
          <w:p w14:paraId="7181F037"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6.5%</w:t>
            </w:r>
          </w:p>
        </w:tc>
        <w:tc>
          <w:tcPr>
            <w:tcW w:w="2880" w:type="dxa"/>
          </w:tcPr>
          <w:p w14:paraId="20E9748E"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Strong consumption, investment surge</w:t>
            </w:r>
          </w:p>
        </w:tc>
      </w:tr>
      <w:tr w:rsidR="004B194E" w:rsidRPr="004B194E" w14:paraId="1F47B191"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E6EB7C"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Q1 2025 (Actual)</w:t>
            </w:r>
          </w:p>
        </w:tc>
        <w:tc>
          <w:tcPr>
            <w:tcW w:w="2880" w:type="dxa"/>
          </w:tcPr>
          <w:p w14:paraId="75E4BBC0"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6.8% y-o-y</w:t>
            </w:r>
          </w:p>
        </w:tc>
        <w:tc>
          <w:tcPr>
            <w:tcW w:w="2880" w:type="dxa"/>
          </w:tcPr>
          <w:p w14:paraId="6303AE6F"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Buoyant domestic demand continuation</w:t>
            </w:r>
          </w:p>
        </w:tc>
      </w:tr>
      <w:tr w:rsidR="004B194E" w:rsidRPr="004B194E" w14:paraId="17C4EE0A"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73C7F7"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2025 (</w:t>
            </w:r>
            <w:proofErr w:type="spellStart"/>
            <w:r w:rsidRPr="004B194E">
              <w:rPr>
                <w:rFonts w:ascii="Times New Roman" w:hAnsi="Times New Roman" w:cs="Times New Roman"/>
                <w:color w:val="000000" w:themeColor="text1"/>
              </w:rPr>
              <w:t>Proj</w:t>
            </w:r>
            <w:proofErr w:type="spellEnd"/>
            <w:r w:rsidRPr="004B194E">
              <w:rPr>
                <w:rFonts w:ascii="Times New Roman" w:hAnsi="Times New Roman" w:cs="Times New Roman"/>
                <w:color w:val="000000" w:themeColor="text1"/>
              </w:rPr>
              <w:t>.)</w:t>
            </w:r>
          </w:p>
        </w:tc>
        <w:tc>
          <w:tcPr>
            <w:tcW w:w="2880" w:type="dxa"/>
          </w:tcPr>
          <w:p w14:paraId="20CB22BA"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5.9%</w:t>
            </w:r>
          </w:p>
        </w:tc>
        <w:tc>
          <w:tcPr>
            <w:tcW w:w="2880" w:type="dxa"/>
          </w:tcPr>
          <w:p w14:paraId="2C0004CD"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Normalization from post-reform peak</w:t>
            </w:r>
          </w:p>
        </w:tc>
      </w:tr>
      <w:tr w:rsidR="004B194E" w:rsidRPr="004B194E" w14:paraId="5C2AF253"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ECA6A2"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2026 (</w:t>
            </w:r>
            <w:proofErr w:type="spellStart"/>
            <w:r w:rsidRPr="004B194E">
              <w:rPr>
                <w:rFonts w:ascii="Times New Roman" w:hAnsi="Times New Roman" w:cs="Times New Roman"/>
                <w:color w:val="000000" w:themeColor="text1"/>
              </w:rPr>
              <w:t>Proj</w:t>
            </w:r>
            <w:proofErr w:type="spellEnd"/>
            <w:r w:rsidRPr="004B194E">
              <w:rPr>
                <w:rFonts w:ascii="Times New Roman" w:hAnsi="Times New Roman" w:cs="Times New Roman"/>
                <w:color w:val="000000" w:themeColor="text1"/>
              </w:rPr>
              <w:t>.)</w:t>
            </w:r>
          </w:p>
        </w:tc>
        <w:tc>
          <w:tcPr>
            <w:tcW w:w="2880" w:type="dxa"/>
          </w:tcPr>
          <w:p w14:paraId="29C18D1D"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5.8%</w:t>
            </w:r>
          </w:p>
        </w:tc>
        <w:tc>
          <w:tcPr>
            <w:tcW w:w="2880" w:type="dxa"/>
          </w:tcPr>
          <w:p w14:paraId="014F598C"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Stabilization at sustainable levels</w:t>
            </w:r>
          </w:p>
        </w:tc>
      </w:tr>
      <w:tr w:rsidR="004B194E" w:rsidRPr="004B194E" w14:paraId="5B02D24A"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9F4945"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Medium-term</w:t>
            </w:r>
          </w:p>
        </w:tc>
        <w:tc>
          <w:tcPr>
            <w:tcW w:w="2880" w:type="dxa"/>
          </w:tcPr>
          <w:p w14:paraId="57CACFAE"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5.5-6.0%</w:t>
            </w:r>
          </w:p>
        </w:tc>
        <w:tc>
          <w:tcPr>
            <w:tcW w:w="2880" w:type="dxa"/>
          </w:tcPr>
          <w:p w14:paraId="1A8E2A8B"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Reform deepening, private sector expansion</w:t>
            </w:r>
          </w:p>
        </w:tc>
      </w:tr>
    </w:tbl>
    <w:p w14:paraId="164A38C7" w14:textId="77777777" w:rsidR="008E5991" w:rsidRPr="004B194E" w:rsidRDefault="008E5991" w:rsidP="0000333D">
      <w:pPr>
        <w:jc w:val="both"/>
        <w:rPr>
          <w:rFonts w:ascii="Times New Roman" w:hAnsi="Times New Roman" w:cs="Times New Roman"/>
          <w:color w:val="000000" w:themeColor="text1"/>
        </w:rPr>
      </w:pPr>
    </w:p>
    <w:p w14:paraId="3870E03E"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Economic performance has remained exceptionally strong, with growth consistently above potential. The surge in growth has been driven by multiple reinforcing factors: significant increases in foreign direct investment, robust foreign borrowing supporting investment projects, surging remittances from labor migrants (particularly from Russia and increasingly from advanced economies), and strong domestic wage growth bolstering household consumption.</w:t>
      </w:r>
    </w:p>
    <w:p w14:paraId="5D577BF8"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lastRenderedPageBreak/>
        <w:t>1.3 Supply-Side Performance</w:t>
      </w:r>
    </w:p>
    <w:p w14:paraId="003BC3F2"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On the supply side, growth has been broad-based across sectors, with construction, industry, and services expanding most rapidly. The sectoral composition of the economy (2023 data) reflects this diversification:</w:t>
      </w:r>
    </w:p>
    <w:p w14:paraId="0FD8CF24"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Table 2: Sectoral Composition of GDP (2023)</w:t>
      </w:r>
    </w:p>
    <w:tbl>
      <w:tblPr>
        <w:tblStyle w:val="LightGrid-Accent1"/>
        <w:tblW w:w="0" w:type="auto"/>
        <w:tblLook w:val="04A0" w:firstRow="1" w:lastRow="0" w:firstColumn="1" w:lastColumn="0" w:noHBand="0" w:noVBand="1"/>
      </w:tblPr>
      <w:tblGrid>
        <w:gridCol w:w="2880"/>
        <w:gridCol w:w="2880"/>
        <w:gridCol w:w="2880"/>
      </w:tblGrid>
      <w:tr w:rsidR="004B194E" w:rsidRPr="004B194E" w14:paraId="05654491" w14:textId="77777777" w:rsidTr="008E5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8F62B6"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Sector</w:t>
            </w:r>
          </w:p>
        </w:tc>
        <w:tc>
          <w:tcPr>
            <w:tcW w:w="2880" w:type="dxa"/>
          </w:tcPr>
          <w:p w14:paraId="16CA9EAB"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Share of GDP</w:t>
            </w:r>
          </w:p>
        </w:tc>
        <w:tc>
          <w:tcPr>
            <w:tcW w:w="2880" w:type="dxa"/>
          </w:tcPr>
          <w:p w14:paraId="7635B4C8"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Growth Dynamics</w:t>
            </w:r>
          </w:p>
        </w:tc>
      </w:tr>
      <w:tr w:rsidR="004B194E" w:rsidRPr="004B194E" w14:paraId="758BECF5"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04278D"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Services</w:t>
            </w:r>
          </w:p>
        </w:tc>
        <w:tc>
          <w:tcPr>
            <w:tcW w:w="2880" w:type="dxa"/>
          </w:tcPr>
          <w:p w14:paraId="4F6DFA87"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43.9%</w:t>
            </w:r>
          </w:p>
        </w:tc>
        <w:tc>
          <w:tcPr>
            <w:tcW w:w="2880" w:type="dxa"/>
          </w:tcPr>
          <w:p w14:paraId="4930F09F"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Rapid expansion in trade, finance, telecommunications</w:t>
            </w:r>
          </w:p>
        </w:tc>
      </w:tr>
      <w:tr w:rsidR="004B194E" w:rsidRPr="004B194E" w14:paraId="0B000FF6"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40E741C"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Industry/Manufacturing</w:t>
            </w:r>
          </w:p>
        </w:tc>
        <w:tc>
          <w:tcPr>
            <w:tcW w:w="2880" w:type="dxa"/>
          </w:tcPr>
          <w:p w14:paraId="09890874"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23.5%</w:t>
            </w:r>
          </w:p>
        </w:tc>
        <w:tc>
          <w:tcPr>
            <w:tcW w:w="2880" w:type="dxa"/>
          </w:tcPr>
          <w:p w14:paraId="6915F90B"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Value-added manufacturing growth (textiles, pharma, automotive)</w:t>
            </w:r>
          </w:p>
        </w:tc>
      </w:tr>
      <w:tr w:rsidR="004B194E" w:rsidRPr="004B194E" w14:paraId="0BFDD6FD"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71189A"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Agriculture</w:t>
            </w:r>
          </w:p>
        </w:tc>
        <w:tc>
          <w:tcPr>
            <w:tcW w:w="2880" w:type="dxa"/>
          </w:tcPr>
          <w:p w14:paraId="39C98351"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20.6%</w:t>
            </w:r>
          </w:p>
        </w:tc>
        <w:tc>
          <w:tcPr>
            <w:tcW w:w="2880" w:type="dxa"/>
          </w:tcPr>
          <w:p w14:paraId="02BF9D2F"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Stable but water-constrained; cotton, fruits, vegetables</w:t>
            </w:r>
          </w:p>
        </w:tc>
      </w:tr>
      <w:tr w:rsidR="004B194E" w:rsidRPr="004B194E" w14:paraId="7C03CD0A"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42D6342"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Construction</w:t>
            </w:r>
          </w:p>
        </w:tc>
        <w:tc>
          <w:tcPr>
            <w:tcW w:w="2880" w:type="dxa"/>
          </w:tcPr>
          <w:p w14:paraId="7C45A00C"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7.1%</w:t>
            </w:r>
          </w:p>
        </w:tc>
        <w:tc>
          <w:tcPr>
            <w:tcW w:w="2880" w:type="dxa"/>
          </w:tcPr>
          <w:p w14:paraId="1619EF73"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Infrastructure boom, real estate development</w:t>
            </w:r>
          </w:p>
        </w:tc>
      </w:tr>
      <w:tr w:rsidR="004B194E" w:rsidRPr="004B194E" w14:paraId="7A3405AD"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DDF6AA"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Other</w:t>
            </w:r>
          </w:p>
        </w:tc>
        <w:tc>
          <w:tcPr>
            <w:tcW w:w="2880" w:type="dxa"/>
          </w:tcPr>
          <w:p w14:paraId="364C9F51"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4.9%</w:t>
            </w:r>
          </w:p>
        </w:tc>
        <w:tc>
          <w:tcPr>
            <w:tcW w:w="2880" w:type="dxa"/>
          </w:tcPr>
          <w:p w14:paraId="3488ABCF"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Mining, utilities</w:t>
            </w:r>
          </w:p>
        </w:tc>
      </w:tr>
    </w:tbl>
    <w:p w14:paraId="38CACA1D" w14:textId="77777777" w:rsidR="008E5991" w:rsidRPr="004B194E" w:rsidRDefault="008E5991" w:rsidP="0000333D">
      <w:pPr>
        <w:jc w:val="both"/>
        <w:rPr>
          <w:rFonts w:ascii="Times New Roman" w:hAnsi="Times New Roman" w:cs="Times New Roman"/>
          <w:color w:val="000000" w:themeColor="text1"/>
        </w:rPr>
      </w:pPr>
    </w:p>
    <w:p w14:paraId="56B89592"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1.4 Nominal GDP and Economic Scale</w:t>
      </w:r>
    </w:p>
    <w:p w14:paraId="024EF67B"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Table 3: Nominal GDP Evolution (Local and USD)</w:t>
      </w:r>
    </w:p>
    <w:tbl>
      <w:tblPr>
        <w:tblStyle w:val="LightGrid-Accent1"/>
        <w:tblW w:w="0" w:type="auto"/>
        <w:tblLook w:val="04A0" w:firstRow="1" w:lastRow="0" w:firstColumn="1" w:lastColumn="0" w:noHBand="0" w:noVBand="1"/>
      </w:tblPr>
      <w:tblGrid>
        <w:gridCol w:w="1728"/>
        <w:gridCol w:w="1728"/>
        <w:gridCol w:w="1728"/>
        <w:gridCol w:w="1728"/>
        <w:gridCol w:w="1728"/>
      </w:tblGrid>
      <w:tr w:rsidR="004B194E" w:rsidRPr="004B194E" w14:paraId="225CF64D" w14:textId="77777777" w:rsidTr="008E5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A528A80"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Year</w:t>
            </w:r>
          </w:p>
        </w:tc>
        <w:tc>
          <w:tcPr>
            <w:tcW w:w="1728" w:type="dxa"/>
          </w:tcPr>
          <w:p w14:paraId="3B9824B9"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Nominal GDP (Trillion UZS)</w:t>
            </w:r>
          </w:p>
        </w:tc>
        <w:tc>
          <w:tcPr>
            <w:tcW w:w="1728" w:type="dxa"/>
          </w:tcPr>
          <w:p w14:paraId="56C59DFB"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Nominal GDP (USD Billion)</w:t>
            </w:r>
          </w:p>
        </w:tc>
        <w:tc>
          <w:tcPr>
            <w:tcW w:w="1728" w:type="dxa"/>
          </w:tcPr>
          <w:p w14:paraId="764A78AD"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GDP per Capita (USD)</w:t>
            </w:r>
          </w:p>
        </w:tc>
        <w:tc>
          <w:tcPr>
            <w:tcW w:w="1728" w:type="dxa"/>
          </w:tcPr>
          <w:p w14:paraId="22048487"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Population (Million)</w:t>
            </w:r>
          </w:p>
        </w:tc>
      </w:tr>
      <w:tr w:rsidR="004B194E" w:rsidRPr="004B194E" w14:paraId="1770602A"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361B7D8"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2022</w:t>
            </w:r>
          </w:p>
        </w:tc>
        <w:tc>
          <w:tcPr>
            <w:tcW w:w="1728" w:type="dxa"/>
          </w:tcPr>
          <w:p w14:paraId="36D6CB70"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996</w:t>
            </w:r>
          </w:p>
        </w:tc>
        <w:tc>
          <w:tcPr>
            <w:tcW w:w="1728" w:type="dxa"/>
          </w:tcPr>
          <w:p w14:paraId="694745BA"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~90</w:t>
            </w:r>
          </w:p>
        </w:tc>
        <w:tc>
          <w:tcPr>
            <w:tcW w:w="1728" w:type="dxa"/>
          </w:tcPr>
          <w:p w14:paraId="6E4AD9B1"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~2,550</w:t>
            </w:r>
          </w:p>
        </w:tc>
        <w:tc>
          <w:tcPr>
            <w:tcW w:w="1728" w:type="dxa"/>
          </w:tcPr>
          <w:p w14:paraId="488E556F"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35.3</w:t>
            </w:r>
          </w:p>
        </w:tc>
      </w:tr>
      <w:tr w:rsidR="004B194E" w:rsidRPr="004B194E" w14:paraId="5B8E4786"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D25E0C2"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2023</w:t>
            </w:r>
          </w:p>
        </w:tc>
        <w:tc>
          <w:tcPr>
            <w:tcW w:w="1728" w:type="dxa"/>
          </w:tcPr>
          <w:p w14:paraId="412C407A"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1,204</w:t>
            </w:r>
          </w:p>
        </w:tc>
        <w:tc>
          <w:tcPr>
            <w:tcW w:w="1728" w:type="dxa"/>
          </w:tcPr>
          <w:p w14:paraId="59B26588"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~98</w:t>
            </w:r>
          </w:p>
        </w:tc>
        <w:tc>
          <w:tcPr>
            <w:tcW w:w="1728" w:type="dxa"/>
          </w:tcPr>
          <w:p w14:paraId="2BEDEAC0"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~2,722</w:t>
            </w:r>
          </w:p>
        </w:tc>
        <w:tc>
          <w:tcPr>
            <w:tcW w:w="1728" w:type="dxa"/>
          </w:tcPr>
          <w:p w14:paraId="61538125"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36.0</w:t>
            </w:r>
          </w:p>
        </w:tc>
      </w:tr>
      <w:tr w:rsidR="004B194E" w:rsidRPr="004B194E" w14:paraId="2CF2DC4B"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C5ACCC6"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2024 (Est.)</w:t>
            </w:r>
          </w:p>
        </w:tc>
        <w:tc>
          <w:tcPr>
            <w:tcW w:w="1728" w:type="dxa"/>
          </w:tcPr>
          <w:p w14:paraId="426EB3C0"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1,455</w:t>
            </w:r>
          </w:p>
        </w:tc>
        <w:tc>
          <w:tcPr>
            <w:tcW w:w="1728" w:type="dxa"/>
          </w:tcPr>
          <w:p w14:paraId="2BF2B547"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~113</w:t>
            </w:r>
          </w:p>
        </w:tc>
        <w:tc>
          <w:tcPr>
            <w:tcW w:w="1728" w:type="dxa"/>
          </w:tcPr>
          <w:p w14:paraId="1921272F"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~3,113</w:t>
            </w:r>
          </w:p>
        </w:tc>
        <w:tc>
          <w:tcPr>
            <w:tcW w:w="1728" w:type="dxa"/>
          </w:tcPr>
          <w:p w14:paraId="27E8E701"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36.9</w:t>
            </w:r>
          </w:p>
        </w:tc>
      </w:tr>
      <w:tr w:rsidR="004B194E" w:rsidRPr="004B194E" w14:paraId="6A2181FD"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BF9F54C"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2025 (</w:t>
            </w:r>
            <w:proofErr w:type="spellStart"/>
            <w:r w:rsidRPr="004B194E">
              <w:rPr>
                <w:rFonts w:ascii="Times New Roman" w:hAnsi="Times New Roman" w:cs="Times New Roman"/>
                <w:color w:val="000000" w:themeColor="text1"/>
              </w:rPr>
              <w:t>Proj</w:t>
            </w:r>
            <w:proofErr w:type="spellEnd"/>
            <w:r w:rsidRPr="004B194E">
              <w:rPr>
                <w:rFonts w:ascii="Times New Roman" w:hAnsi="Times New Roman" w:cs="Times New Roman"/>
                <w:color w:val="000000" w:themeColor="text1"/>
              </w:rPr>
              <w:t>.)</w:t>
            </w:r>
          </w:p>
        </w:tc>
        <w:tc>
          <w:tcPr>
            <w:tcW w:w="1728" w:type="dxa"/>
          </w:tcPr>
          <w:p w14:paraId="3F444C76"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1,733</w:t>
            </w:r>
          </w:p>
        </w:tc>
        <w:tc>
          <w:tcPr>
            <w:tcW w:w="1728" w:type="dxa"/>
          </w:tcPr>
          <w:p w14:paraId="3A361B6A"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~131</w:t>
            </w:r>
          </w:p>
        </w:tc>
        <w:tc>
          <w:tcPr>
            <w:tcW w:w="1728" w:type="dxa"/>
          </w:tcPr>
          <w:p w14:paraId="48C69576"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~3,487</w:t>
            </w:r>
          </w:p>
        </w:tc>
        <w:tc>
          <w:tcPr>
            <w:tcW w:w="1728" w:type="dxa"/>
          </w:tcPr>
          <w:p w14:paraId="0560B58C"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37.7</w:t>
            </w:r>
          </w:p>
        </w:tc>
      </w:tr>
      <w:tr w:rsidR="004B194E" w:rsidRPr="004B194E" w14:paraId="4A69AE1A"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284C7B7"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2026 (</w:t>
            </w:r>
            <w:proofErr w:type="spellStart"/>
            <w:r w:rsidRPr="004B194E">
              <w:rPr>
                <w:rFonts w:ascii="Times New Roman" w:hAnsi="Times New Roman" w:cs="Times New Roman"/>
                <w:color w:val="000000" w:themeColor="text1"/>
              </w:rPr>
              <w:t>Proj</w:t>
            </w:r>
            <w:proofErr w:type="spellEnd"/>
            <w:r w:rsidRPr="004B194E">
              <w:rPr>
                <w:rFonts w:ascii="Times New Roman" w:hAnsi="Times New Roman" w:cs="Times New Roman"/>
                <w:color w:val="000000" w:themeColor="text1"/>
              </w:rPr>
              <w:t>.)</w:t>
            </w:r>
          </w:p>
        </w:tc>
        <w:tc>
          <w:tcPr>
            <w:tcW w:w="1728" w:type="dxa"/>
          </w:tcPr>
          <w:p w14:paraId="5AEE742C"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2,005</w:t>
            </w:r>
          </w:p>
        </w:tc>
        <w:tc>
          <w:tcPr>
            <w:tcW w:w="1728" w:type="dxa"/>
          </w:tcPr>
          <w:p w14:paraId="08EB9AC6"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~147</w:t>
            </w:r>
          </w:p>
        </w:tc>
        <w:tc>
          <w:tcPr>
            <w:tcW w:w="1728" w:type="dxa"/>
          </w:tcPr>
          <w:p w14:paraId="519D48CA"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~3,805</w:t>
            </w:r>
          </w:p>
        </w:tc>
        <w:tc>
          <w:tcPr>
            <w:tcW w:w="1728" w:type="dxa"/>
          </w:tcPr>
          <w:p w14:paraId="19FE4354"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38.5</w:t>
            </w:r>
          </w:p>
        </w:tc>
      </w:tr>
    </w:tbl>
    <w:p w14:paraId="53490B50" w14:textId="77777777" w:rsidR="008E5991" w:rsidRPr="004B194E" w:rsidRDefault="008E5991" w:rsidP="0000333D">
      <w:pPr>
        <w:jc w:val="both"/>
        <w:rPr>
          <w:rFonts w:ascii="Times New Roman" w:hAnsi="Times New Roman" w:cs="Times New Roman"/>
          <w:color w:val="000000" w:themeColor="text1"/>
        </w:rPr>
      </w:pPr>
    </w:p>
    <w:p w14:paraId="3443DD2C"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The economy's nominal size in USD terms has grown rapidly, reaching approximately USD 113 billion in 2024, with projections indicating expansion to USD 147 billion by 2026. This represents a compound annual growth rate of approximately 18% in nominal USD terms over the 2022-2026 period.</w:t>
      </w:r>
    </w:p>
    <w:p w14:paraId="2A88A40C"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1.5 Labor Market Dynamics</w:t>
      </w:r>
    </w:p>
    <w:p w14:paraId="570A29A3"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Employment rose significantly in 2024, though informality remains prevalent despite recent declines. Key labor market indicators include:</w:t>
      </w:r>
    </w:p>
    <w:p w14:paraId="3BEC44C8"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Unemployment Rate: Declined from 6.8% (end-2023) to 5.5% (end-2024)</w:t>
      </w:r>
    </w:p>
    <w:p w14:paraId="72177C14"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Youth Unemployment: Elevated at approximately 11% overall, with ILO estimates suggesting 13.8% for the 15-24 age group (2022 data)</w:t>
      </w:r>
    </w:p>
    <w:p w14:paraId="09FFF9CA"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lastRenderedPageBreak/>
        <w:t>Female Labor Force Participation: 40.01%, significantly below comparators (Kazakhstan 65.1%, Kyrgyz Republic 45.4%)</w:t>
      </w:r>
    </w:p>
    <w:p w14:paraId="3C1E6ADD"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New Labor Market Entrants: Approximately 500,000 annually, requiring substantial job creation and skills training</w:t>
      </w:r>
    </w:p>
    <w:p w14:paraId="75F667C4"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Demographic Profile: Young population with approximately 45% under age 25, providing both opportunity and challenge</w:t>
      </w:r>
    </w:p>
    <w:p w14:paraId="08F7AEFC"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1.6 Inflation Dynamics</w:t>
      </w:r>
    </w:p>
    <w:p w14:paraId="2100B8DD"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Table 4: Inflation Performance and Outlook</w:t>
      </w:r>
    </w:p>
    <w:tbl>
      <w:tblPr>
        <w:tblStyle w:val="LightGrid-Accent1"/>
        <w:tblW w:w="0" w:type="auto"/>
        <w:tblLook w:val="04A0" w:firstRow="1" w:lastRow="0" w:firstColumn="1" w:lastColumn="0" w:noHBand="0" w:noVBand="1"/>
      </w:tblPr>
      <w:tblGrid>
        <w:gridCol w:w="2160"/>
        <w:gridCol w:w="2160"/>
        <w:gridCol w:w="2160"/>
        <w:gridCol w:w="2160"/>
      </w:tblGrid>
      <w:tr w:rsidR="004B194E" w:rsidRPr="004B194E" w14:paraId="393DD6DA" w14:textId="77777777" w:rsidTr="008E5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3C0BC6B"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Period</w:t>
            </w:r>
          </w:p>
        </w:tc>
        <w:tc>
          <w:tcPr>
            <w:tcW w:w="2160" w:type="dxa"/>
          </w:tcPr>
          <w:p w14:paraId="04092F50"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CPI Inflation (End-Period)</w:t>
            </w:r>
          </w:p>
        </w:tc>
        <w:tc>
          <w:tcPr>
            <w:tcW w:w="2160" w:type="dxa"/>
          </w:tcPr>
          <w:p w14:paraId="6F68CCC0"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CPI Inflation (Average)</w:t>
            </w:r>
          </w:p>
        </w:tc>
        <w:tc>
          <w:tcPr>
            <w:tcW w:w="2160" w:type="dxa"/>
          </w:tcPr>
          <w:p w14:paraId="2283E6E6"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Key Factors</w:t>
            </w:r>
          </w:p>
        </w:tc>
      </w:tr>
      <w:tr w:rsidR="004B194E" w:rsidRPr="004B194E" w14:paraId="09D3E5EB"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468461C"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Early 2018</w:t>
            </w:r>
          </w:p>
        </w:tc>
        <w:tc>
          <w:tcPr>
            <w:tcW w:w="2160" w:type="dxa"/>
          </w:tcPr>
          <w:p w14:paraId="7F565CA3"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~20%</w:t>
            </w:r>
          </w:p>
        </w:tc>
        <w:tc>
          <w:tcPr>
            <w:tcW w:w="2160" w:type="dxa"/>
          </w:tcPr>
          <w:p w14:paraId="2F2CC975"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w:t>
            </w:r>
          </w:p>
        </w:tc>
        <w:tc>
          <w:tcPr>
            <w:tcW w:w="2160" w:type="dxa"/>
          </w:tcPr>
          <w:p w14:paraId="64396B3D"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Post-devaluation adjustment</w:t>
            </w:r>
          </w:p>
        </w:tc>
      </w:tr>
      <w:tr w:rsidR="004B194E" w:rsidRPr="004B194E" w14:paraId="6A54A7DE"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282B49"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2022</w:t>
            </w:r>
          </w:p>
        </w:tc>
        <w:tc>
          <w:tcPr>
            <w:tcW w:w="2160" w:type="dxa"/>
          </w:tcPr>
          <w:p w14:paraId="1D114ADD"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12.3%</w:t>
            </w:r>
          </w:p>
        </w:tc>
        <w:tc>
          <w:tcPr>
            <w:tcW w:w="2160" w:type="dxa"/>
          </w:tcPr>
          <w:p w14:paraId="3B71D4BB"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w:t>
            </w:r>
          </w:p>
        </w:tc>
        <w:tc>
          <w:tcPr>
            <w:tcW w:w="2160" w:type="dxa"/>
          </w:tcPr>
          <w:p w14:paraId="18FAD89C"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Global commodity price pressures</w:t>
            </w:r>
          </w:p>
        </w:tc>
      </w:tr>
      <w:tr w:rsidR="004B194E" w:rsidRPr="004B194E" w14:paraId="70340F4E"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B8EFA0"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2023</w:t>
            </w:r>
          </w:p>
        </w:tc>
        <w:tc>
          <w:tcPr>
            <w:tcW w:w="2160" w:type="dxa"/>
          </w:tcPr>
          <w:p w14:paraId="6DCDB041"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8.7%</w:t>
            </w:r>
          </w:p>
        </w:tc>
        <w:tc>
          <w:tcPr>
            <w:tcW w:w="2160" w:type="dxa"/>
          </w:tcPr>
          <w:p w14:paraId="06EF935F"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w:t>
            </w:r>
          </w:p>
        </w:tc>
        <w:tc>
          <w:tcPr>
            <w:tcW w:w="2160" w:type="dxa"/>
          </w:tcPr>
          <w:p w14:paraId="2FF54A67"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Downward trend through year</w:t>
            </w:r>
          </w:p>
        </w:tc>
      </w:tr>
      <w:tr w:rsidR="004B194E" w:rsidRPr="004B194E" w14:paraId="3C954D35"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83C24E4"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Apr 2024</w:t>
            </w:r>
          </w:p>
        </w:tc>
        <w:tc>
          <w:tcPr>
            <w:tcW w:w="2160" w:type="dxa"/>
          </w:tcPr>
          <w:p w14:paraId="565FF48D"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Trending lower</w:t>
            </w:r>
          </w:p>
        </w:tc>
        <w:tc>
          <w:tcPr>
            <w:tcW w:w="2160" w:type="dxa"/>
          </w:tcPr>
          <w:p w14:paraId="3A35A821"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w:t>
            </w:r>
          </w:p>
        </w:tc>
        <w:tc>
          <w:tcPr>
            <w:tcW w:w="2160" w:type="dxa"/>
          </w:tcPr>
          <w:p w14:paraId="377FCAD6"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Pre-energy reform trajectory</w:t>
            </w:r>
          </w:p>
        </w:tc>
      </w:tr>
      <w:tr w:rsidR="004B194E" w:rsidRPr="004B194E" w14:paraId="3ED4E56A"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6BFBF73"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May 2024</w:t>
            </w:r>
          </w:p>
        </w:tc>
        <w:tc>
          <w:tcPr>
            <w:tcW w:w="2160" w:type="dxa"/>
          </w:tcPr>
          <w:p w14:paraId="45206669"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10.6% y-o-y</w:t>
            </w:r>
          </w:p>
        </w:tc>
        <w:tc>
          <w:tcPr>
            <w:tcW w:w="2160" w:type="dxa"/>
          </w:tcPr>
          <w:p w14:paraId="07059680"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w:t>
            </w:r>
          </w:p>
        </w:tc>
        <w:tc>
          <w:tcPr>
            <w:tcW w:w="2160" w:type="dxa"/>
          </w:tcPr>
          <w:p w14:paraId="7C6B637E"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Energy price reform impact</w:t>
            </w:r>
          </w:p>
        </w:tc>
      </w:tr>
      <w:tr w:rsidR="004B194E" w:rsidRPr="004B194E" w14:paraId="449CA670"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71EB1A"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End-2024</w:t>
            </w:r>
          </w:p>
        </w:tc>
        <w:tc>
          <w:tcPr>
            <w:tcW w:w="2160" w:type="dxa"/>
          </w:tcPr>
          <w:p w14:paraId="155504E3"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9.8%</w:t>
            </w:r>
          </w:p>
        </w:tc>
        <w:tc>
          <w:tcPr>
            <w:tcW w:w="2160" w:type="dxa"/>
          </w:tcPr>
          <w:p w14:paraId="79A93408"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w:t>
            </w:r>
          </w:p>
        </w:tc>
        <w:tc>
          <w:tcPr>
            <w:tcW w:w="2160" w:type="dxa"/>
          </w:tcPr>
          <w:p w14:paraId="6B3E0041"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Marginal easing</w:t>
            </w:r>
          </w:p>
        </w:tc>
      </w:tr>
      <w:tr w:rsidR="004B194E" w:rsidRPr="004B194E" w14:paraId="5CEA780D"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A9F506"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Apr 2025</w:t>
            </w:r>
          </w:p>
        </w:tc>
        <w:tc>
          <w:tcPr>
            <w:tcW w:w="2160" w:type="dxa"/>
          </w:tcPr>
          <w:p w14:paraId="3B29B4F5"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10.1% y-o-y</w:t>
            </w:r>
          </w:p>
        </w:tc>
        <w:tc>
          <w:tcPr>
            <w:tcW w:w="2160" w:type="dxa"/>
          </w:tcPr>
          <w:p w14:paraId="4A0FE34F"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w:t>
            </w:r>
          </w:p>
        </w:tc>
        <w:tc>
          <w:tcPr>
            <w:tcW w:w="2160" w:type="dxa"/>
          </w:tcPr>
          <w:p w14:paraId="5E903267"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Gradual decline</w:t>
            </w:r>
          </w:p>
        </w:tc>
      </w:tr>
      <w:tr w:rsidR="004B194E" w:rsidRPr="004B194E" w14:paraId="4179DB1E"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0C7460"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End-2025 (</w:t>
            </w:r>
            <w:proofErr w:type="spellStart"/>
            <w:r w:rsidRPr="004B194E">
              <w:rPr>
                <w:rFonts w:ascii="Times New Roman" w:hAnsi="Times New Roman" w:cs="Times New Roman"/>
                <w:color w:val="000000" w:themeColor="text1"/>
              </w:rPr>
              <w:t>Proj</w:t>
            </w:r>
            <w:proofErr w:type="spellEnd"/>
            <w:r w:rsidRPr="004B194E">
              <w:rPr>
                <w:rFonts w:ascii="Times New Roman" w:hAnsi="Times New Roman" w:cs="Times New Roman"/>
                <w:color w:val="000000" w:themeColor="text1"/>
              </w:rPr>
              <w:t>.)</w:t>
            </w:r>
          </w:p>
        </w:tc>
        <w:tc>
          <w:tcPr>
            <w:tcW w:w="2160" w:type="dxa"/>
          </w:tcPr>
          <w:p w14:paraId="3AD93EB2"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8.4%</w:t>
            </w:r>
          </w:p>
        </w:tc>
        <w:tc>
          <w:tcPr>
            <w:tcW w:w="2160" w:type="dxa"/>
          </w:tcPr>
          <w:p w14:paraId="3B4718DE"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w:t>
            </w:r>
          </w:p>
        </w:tc>
        <w:tc>
          <w:tcPr>
            <w:tcW w:w="2160" w:type="dxa"/>
          </w:tcPr>
          <w:p w14:paraId="3191CD33"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Continued disinflation</w:t>
            </w:r>
          </w:p>
        </w:tc>
      </w:tr>
      <w:tr w:rsidR="004B194E" w:rsidRPr="004B194E" w14:paraId="6E3A774C"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AD7F393"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End-2026 (</w:t>
            </w:r>
            <w:proofErr w:type="spellStart"/>
            <w:r w:rsidRPr="004B194E">
              <w:rPr>
                <w:rFonts w:ascii="Times New Roman" w:hAnsi="Times New Roman" w:cs="Times New Roman"/>
                <w:color w:val="000000" w:themeColor="text1"/>
              </w:rPr>
              <w:t>Proj</w:t>
            </w:r>
            <w:proofErr w:type="spellEnd"/>
            <w:r w:rsidRPr="004B194E">
              <w:rPr>
                <w:rFonts w:ascii="Times New Roman" w:hAnsi="Times New Roman" w:cs="Times New Roman"/>
                <w:color w:val="000000" w:themeColor="text1"/>
              </w:rPr>
              <w:t>.)</w:t>
            </w:r>
          </w:p>
        </w:tc>
        <w:tc>
          <w:tcPr>
            <w:tcW w:w="2160" w:type="dxa"/>
          </w:tcPr>
          <w:p w14:paraId="49A83AE6"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6.5%</w:t>
            </w:r>
          </w:p>
        </w:tc>
        <w:tc>
          <w:tcPr>
            <w:tcW w:w="2160" w:type="dxa"/>
          </w:tcPr>
          <w:p w14:paraId="55E863FE"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w:t>
            </w:r>
          </w:p>
        </w:tc>
        <w:tc>
          <w:tcPr>
            <w:tcW w:w="2160" w:type="dxa"/>
          </w:tcPr>
          <w:p w14:paraId="4F50EA54"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Approaching target</w:t>
            </w:r>
          </w:p>
        </w:tc>
      </w:tr>
      <w:tr w:rsidR="004B194E" w:rsidRPr="004B194E" w14:paraId="54A9E713"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FF9632"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End-2027 Target</w:t>
            </w:r>
          </w:p>
        </w:tc>
        <w:tc>
          <w:tcPr>
            <w:tcW w:w="2160" w:type="dxa"/>
          </w:tcPr>
          <w:p w14:paraId="0F31D21C"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5.0%</w:t>
            </w:r>
          </w:p>
        </w:tc>
        <w:tc>
          <w:tcPr>
            <w:tcW w:w="2160" w:type="dxa"/>
          </w:tcPr>
          <w:p w14:paraId="05563CC4"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w:t>
            </w:r>
          </w:p>
        </w:tc>
        <w:tc>
          <w:tcPr>
            <w:tcW w:w="2160" w:type="dxa"/>
          </w:tcPr>
          <w:p w14:paraId="5865CE58"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Central Bank of Uzbekistan target</w:t>
            </w:r>
          </w:p>
        </w:tc>
      </w:tr>
    </w:tbl>
    <w:p w14:paraId="1512AD54" w14:textId="77777777" w:rsidR="008E5991" w:rsidRPr="004B194E" w:rsidRDefault="008E5991" w:rsidP="0000333D">
      <w:pPr>
        <w:jc w:val="both"/>
        <w:rPr>
          <w:rFonts w:ascii="Times New Roman" w:hAnsi="Times New Roman" w:cs="Times New Roman"/>
          <w:color w:val="000000" w:themeColor="text1"/>
        </w:rPr>
      </w:pPr>
    </w:p>
    <w:p w14:paraId="089038CD"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Inflation trended downward through end-April 2024 but rose to 10.6% year-on-year in May 2024 following a needed energy price reform. The inflation spike reflects the necessary adjustment of administered energy prices toward cost recovery levels, a critical reform for fiscal sustainability and efficient resource allocation. Inflation has only marginally eased to 10.1% by end-April 2025, indicating persistent price pressures that require continued tight monetary policy.</w:t>
      </w:r>
    </w:p>
    <w:p w14:paraId="1FDFB650"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1.7 Poverty Reduction</w:t>
      </w:r>
    </w:p>
    <w:p w14:paraId="6461EA7C"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The combination of growing migrant wages in Russia, increasing migration to advanced economies, strong domestic wage growth, and robust economic growth has contributed to significant poverty reduction:</w:t>
      </w:r>
    </w:p>
    <w:p w14:paraId="1B6D8592"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Poverty Rate: Declined from 11% (2023) to 8.9% (2024)</w:t>
      </w:r>
    </w:p>
    <w:p w14:paraId="53A9E271"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Poverty Reduction Drivers: Remittances, wage growth, employment expansion, social programs</w:t>
      </w:r>
    </w:p>
    <w:p w14:paraId="3760EFEE"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lastRenderedPageBreak/>
        <w:t>Remaining Challenges: Regional disparities, rural poverty, vulnerable populations</w:t>
      </w:r>
    </w:p>
    <w:p w14:paraId="1CE14000"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1.8 Output Gap and Economic Capacity</w:t>
      </w:r>
    </w:p>
    <w:p w14:paraId="0860FEDE"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The output gap is slightly positive, reflecting strong growth above potential, though moderating as the economy normalizes following the post-reform surge. Strong domestic demand continues supporting above-potential growth, but sustainability requires careful macroeconomic management to avoid overheating and maintain external balance.</w:t>
      </w:r>
    </w:p>
    <w:p w14:paraId="0C1E4D57" w14:textId="77777777" w:rsidR="008E5991" w:rsidRPr="004B194E" w:rsidRDefault="008E5991" w:rsidP="0000333D">
      <w:pPr>
        <w:spacing w:before="120" w:after="120"/>
        <w:jc w:val="both"/>
        <w:rPr>
          <w:rFonts w:ascii="Times New Roman" w:hAnsi="Times New Roman" w:cs="Times New Roman"/>
          <w:color w:val="000000" w:themeColor="text1"/>
        </w:rPr>
      </w:pPr>
    </w:p>
    <w:p w14:paraId="15ECFF6C" w14:textId="77777777" w:rsidR="000A5F77" w:rsidRDefault="000A5F77" w:rsidP="0000333D">
      <w:pPr>
        <w:pStyle w:val="Heading1"/>
        <w:jc w:val="both"/>
        <w:sectPr w:rsidR="000A5F77" w:rsidSect="00034616">
          <w:pgSz w:w="12240" w:h="15840"/>
          <w:pgMar w:top="1440" w:right="1800" w:bottom="1440" w:left="1800" w:header="720" w:footer="720" w:gutter="0"/>
          <w:cols w:space="720"/>
          <w:docGrid w:linePitch="360"/>
        </w:sectPr>
      </w:pPr>
    </w:p>
    <w:p w14:paraId="0189A90C" w14:textId="77777777" w:rsidR="008E5991" w:rsidRPr="004B194E" w:rsidRDefault="00000000" w:rsidP="0000333D">
      <w:pPr>
        <w:pStyle w:val="Heading1"/>
        <w:jc w:val="both"/>
      </w:pPr>
      <w:r w:rsidRPr="004B194E">
        <w:lastRenderedPageBreak/>
        <w:t>2. ECONOMIC POLICY FRAMEWORK</w:t>
      </w:r>
    </w:p>
    <w:p w14:paraId="1926EBCE"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2.1 Strategic Policy Priorities</w:t>
      </w:r>
    </w:p>
    <w:p w14:paraId="05310B64"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Policy priorities center on cementing macroeconomic and financial stability while continuing the ambitious economic reform agenda aimed at reducing the state footprint and fostering private sector-led, inclusive growth. The Development Strategy for New Uzbekistan 2022-2026 provides the comprehensive policy framework with seven strategic priorities, 100 specific goals, and nearly 400 actions.</w:t>
      </w:r>
    </w:p>
    <w:p w14:paraId="458EBA3B"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2.2 Fiscal Policy Stance</w:t>
      </w:r>
    </w:p>
    <w:p w14:paraId="0F8B42CA"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Objectives:</w:t>
      </w:r>
    </w:p>
    <w:p w14:paraId="6C8DF6FA"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Planned adjustment in the broader public sector to keep debt at moderate levels</w:t>
      </w:r>
    </w:p>
    <w:p w14:paraId="1D48CC7C"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Help reduce domestic demand pressures supporting inflation reduction</w:t>
      </w:r>
    </w:p>
    <w:p w14:paraId="0CD967AC"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Create fiscal space for priority social and development needs</w:t>
      </w:r>
    </w:p>
    <w:p w14:paraId="0B6AF4EC"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Key Recommendations:</w:t>
      </w:r>
    </w:p>
    <w:p w14:paraId="2142C77F"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1. </w:t>
      </w:r>
      <w:r w:rsidRPr="004B194E">
        <w:rPr>
          <w:rFonts w:ascii="Times New Roman" w:hAnsi="Times New Roman" w:cs="Times New Roman"/>
          <w:b/>
          <w:color w:val="000000" w:themeColor="text1"/>
        </w:rPr>
        <w:t>Borrowing Discipline:</w:t>
      </w:r>
      <w:r w:rsidRPr="004B194E">
        <w:rPr>
          <w:rFonts w:ascii="Times New Roman" w:hAnsi="Times New Roman" w:cs="Times New Roman"/>
          <w:color w:val="000000" w:themeColor="text1"/>
        </w:rPr>
        <w:t xml:space="preserve"> Adhering to external borrowing limits is essential to guard fiscal stability</w:t>
      </w:r>
    </w:p>
    <w:p w14:paraId="19EC0ABC"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2. </w:t>
      </w:r>
      <w:r w:rsidRPr="004B194E">
        <w:rPr>
          <w:rFonts w:ascii="Times New Roman" w:hAnsi="Times New Roman" w:cs="Times New Roman"/>
          <w:b/>
          <w:color w:val="000000" w:themeColor="text1"/>
        </w:rPr>
        <w:t>Counter-Cyclical Policy:</w:t>
      </w:r>
      <w:r w:rsidRPr="004B194E">
        <w:rPr>
          <w:rFonts w:ascii="Times New Roman" w:hAnsi="Times New Roman" w:cs="Times New Roman"/>
          <w:color w:val="000000" w:themeColor="text1"/>
        </w:rPr>
        <w:t xml:space="preserve"> Avoiding government spending procyclicality in response to high gold prices is critical to support inflation reduction</w:t>
      </w:r>
    </w:p>
    <w:p w14:paraId="0F649F99"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3. </w:t>
      </w:r>
      <w:r w:rsidRPr="004B194E">
        <w:rPr>
          <w:rFonts w:ascii="Times New Roman" w:hAnsi="Times New Roman" w:cs="Times New Roman"/>
          <w:b/>
          <w:color w:val="000000" w:themeColor="text1"/>
        </w:rPr>
        <w:t>Revenue Mobilization:</w:t>
      </w:r>
      <w:r w:rsidRPr="004B194E">
        <w:rPr>
          <w:rFonts w:ascii="Times New Roman" w:hAnsi="Times New Roman" w:cs="Times New Roman"/>
          <w:color w:val="000000" w:themeColor="text1"/>
        </w:rPr>
        <w:t xml:space="preserve"> Authorities should reverse the decline in the tax-to-GDP ratio through tax system reform to broaden the base</w:t>
      </w:r>
    </w:p>
    <w:p w14:paraId="224B6722"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4. </w:t>
      </w:r>
      <w:r w:rsidRPr="004B194E">
        <w:rPr>
          <w:rFonts w:ascii="Times New Roman" w:hAnsi="Times New Roman" w:cs="Times New Roman"/>
          <w:b/>
          <w:color w:val="000000" w:themeColor="text1"/>
        </w:rPr>
        <w:t>Expenditure Efficiency:</w:t>
      </w:r>
      <w:r w:rsidRPr="004B194E">
        <w:rPr>
          <w:rFonts w:ascii="Times New Roman" w:hAnsi="Times New Roman" w:cs="Times New Roman"/>
          <w:color w:val="000000" w:themeColor="text1"/>
        </w:rPr>
        <w:t xml:space="preserve"> Improve public spending efficiency and strengthen public financial management (PFM)</w:t>
      </w:r>
    </w:p>
    <w:p w14:paraId="41C03FD2"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5. </w:t>
      </w:r>
      <w:r w:rsidRPr="004B194E">
        <w:rPr>
          <w:rFonts w:ascii="Times New Roman" w:hAnsi="Times New Roman" w:cs="Times New Roman"/>
          <w:b/>
          <w:color w:val="000000" w:themeColor="text1"/>
        </w:rPr>
        <w:t>Fiscal Risk Management:</w:t>
      </w:r>
      <w:r w:rsidRPr="004B194E">
        <w:rPr>
          <w:rFonts w:ascii="Times New Roman" w:hAnsi="Times New Roman" w:cs="Times New Roman"/>
          <w:color w:val="000000" w:themeColor="text1"/>
        </w:rPr>
        <w:t xml:space="preserve"> Further efforts needed to improve monitoring and management of fiscal risks from state-owned enterprises (SOEs) and public-private partnerships (PPPs)</w:t>
      </w:r>
    </w:p>
    <w:p w14:paraId="075D252C"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6. </w:t>
      </w:r>
      <w:r w:rsidRPr="004B194E">
        <w:rPr>
          <w:rFonts w:ascii="Times New Roman" w:hAnsi="Times New Roman" w:cs="Times New Roman"/>
          <w:b/>
          <w:color w:val="000000" w:themeColor="text1"/>
        </w:rPr>
        <w:t>Transparency:</w:t>
      </w:r>
      <w:r w:rsidRPr="004B194E">
        <w:rPr>
          <w:rFonts w:ascii="Times New Roman" w:hAnsi="Times New Roman" w:cs="Times New Roman"/>
          <w:color w:val="000000" w:themeColor="text1"/>
        </w:rPr>
        <w:t xml:space="preserve"> Strengthen fiscal transparency and reporting</w:t>
      </w:r>
    </w:p>
    <w:p w14:paraId="1B67C036"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Fiscal Risk Concerns:</w:t>
      </w:r>
    </w:p>
    <w:p w14:paraId="76458612"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The total PPP portfolio reached approximately USD 31 billion or 27% of GDP by end-2024, with potential commitments up to 34% of GDP under the PPP Program 2025-2030. This represents a significant contingent liability requiring careful fiscal risk assessment and management. The Fiscal Risk Assessment Department (FRAD) in the Ministry of Economy and Finance estimates explicit and implicit fiscal obligations from PPPs.</w:t>
      </w:r>
    </w:p>
    <w:p w14:paraId="6435520E"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2.3 Monetary Policy Framework</w:t>
      </w:r>
    </w:p>
    <w:p w14:paraId="6C99C41E"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Primary Objective:</w:t>
      </w:r>
      <w:r w:rsidRPr="004B194E">
        <w:rPr>
          <w:rFonts w:ascii="Times New Roman" w:hAnsi="Times New Roman" w:cs="Times New Roman"/>
          <w:color w:val="000000" w:themeColor="text1"/>
        </w:rPr>
        <w:t xml:space="preserve"> The Central Bank of Uzbekistan (CBU) should continue focusing on reducing inflation to the 5% target by end-2027, maintaining a data-driven approach.</w:t>
      </w:r>
    </w:p>
    <w:p w14:paraId="6205955A"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Policy Stance:</w:t>
      </w:r>
    </w:p>
    <w:p w14:paraId="0B3F919D"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lastRenderedPageBreak/>
        <w:t>Maintain tight monetary policy to bring inflation down from current levels (10.1% as of end-April 2025)</w:t>
      </w:r>
    </w:p>
    <w:p w14:paraId="20C1E770"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Policy should be tightened further if core inflation or inflation expectations do not decline</w:t>
      </w:r>
    </w:p>
    <w:p w14:paraId="49D87E64"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Real policy rates need to remain sufficiently restrictive to achieve the inflation target</w:t>
      </w:r>
    </w:p>
    <w:p w14:paraId="11759FD8"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Institutional Reforms:</w:t>
      </w:r>
    </w:p>
    <w:p w14:paraId="6881C8F4"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Strengthen monetary policy communication to enhance transparency and manage expectations</w:t>
      </w:r>
    </w:p>
    <w:p w14:paraId="56072E47"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Improve monetary policy transmission mechanisms</w:t>
      </w:r>
    </w:p>
    <w:p w14:paraId="6C873A60"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Adopt greater exchange rate flexibility to enhance monetary policy effectiveness</w:t>
      </w:r>
    </w:p>
    <w:p w14:paraId="1AD753E3"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Implement outstanding safeguards recommendations to strengthen central bank governance and independence</w:t>
      </w:r>
    </w:p>
    <w:p w14:paraId="51B9EB3A"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2.4 Financial Sector Policy</w:t>
      </w:r>
    </w:p>
    <w:p w14:paraId="64820003"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Regulatory and Supervisory Priorities:</w:t>
      </w:r>
    </w:p>
    <w:p w14:paraId="6A475B2A"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1. </w:t>
      </w:r>
      <w:r w:rsidRPr="004B194E">
        <w:rPr>
          <w:rFonts w:ascii="Times New Roman" w:hAnsi="Times New Roman" w:cs="Times New Roman"/>
          <w:b/>
          <w:color w:val="000000" w:themeColor="text1"/>
        </w:rPr>
        <w:t>Enhance Bank Supervision:</w:t>
      </w:r>
      <w:r w:rsidRPr="004B194E">
        <w:rPr>
          <w:rFonts w:ascii="Times New Roman" w:hAnsi="Times New Roman" w:cs="Times New Roman"/>
          <w:color w:val="000000" w:themeColor="text1"/>
        </w:rPr>
        <w:t xml:space="preserve"> Safeguard financial stability while reducing the state role in the financial sector</w:t>
      </w:r>
    </w:p>
    <w:p w14:paraId="4E813F8F"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2. </w:t>
      </w:r>
      <w:r w:rsidRPr="004B194E">
        <w:rPr>
          <w:rFonts w:ascii="Times New Roman" w:hAnsi="Times New Roman" w:cs="Times New Roman"/>
          <w:b/>
          <w:color w:val="000000" w:themeColor="text1"/>
        </w:rPr>
        <w:t>State Bank Reform:</w:t>
      </w:r>
      <w:r w:rsidRPr="004B194E">
        <w:rPr>
          <w:rFonts w:ascii="Times New Roman" w:hAnsi="Times New Roman" w:cs="Times New Roman"/>
          <w:color w:val="000000" w:themeColor="text1"/>
        </w:rPr>
        <w:t xml:space="preserve"> Bolster commercial orientation of state banks and improve corporate governance</w:t>
      </w:r>
    </w:p>
    <w:p w14:paraId="4F7040F7"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3. </w:t>
      </w:r>
      <w:r w:rsidRPr="004B194E">
        <w:rPr>
          <w:rFonts w:ascii="Times New Roman" w:hAnsi="Times New Roman" w:cs="Times New Roman"/>
          <w:b/>
          <w:color w:val="000000" w:themeColor="text1"/>
        </w:rPr>
        <w:t>Directed Lending:</w:t>
      </w:r>
      <w:r w:rsidRPr="004B194E">
        <w:rPr>
          <w:rFonts w:ascii="Times New Roman" w:hAnsi="Times New Roman" w:cs="Times New Roman"/>
          <w:color w:val="000000" w:themeColor="text1"/>
        </w:rPr>
        <w:t xml:space="preserve"> Phase out directed and preferential lending practices</w:t>
      </w:r>
    </w:p>
    <w:p w14:paraId="207932C7"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4. </w:t>
      </w:r>
      <w:r w:rsidRPr="004B194E">
        <w:rPr>
          <w:rFonts w:ascii="Times New Roman" w:hAnsi="Times New Roman" w:cs="Times New Roman"/>
          <w:b/>
          <w:color w:val="000000" w:themeColor="text1"/>
        </w:rPr>
        <w:t>Privatization:</w:t>
      </w:r>
      <w:r w:rsidRPr="004B194E">
        <w:rPr>
          <w:rFonts w:ascii="Times New Roman" w:hAnsi="Times New Roman" w:cs="Times New Roman"/>
          <w:color w:val="000000" w:themeColor="text1"/>
        </w:rPr>
        <w:t xml:space="preserve"> Expedite and expand privatization efforts for state-owned commercial banks</w:t>
      </w:r>
    </w:p>
    <w:p w14:paraId="649DB71C"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5. </w:t>
      </w:r>
      <w:r w:rsidRPr="004B194E">
        <w:rPr>
          <w:rFonts w:ascii="Times New Roman" w:hAnsi="Times New Roman" w:cs="Times New Roman"/>
          <w:b/>
          <w:color w:val="000000" w:themeColor="text1"/>
        </w:rPr>
        <w:t>Asset Quality:</w:t>
      </w:r>
      <w:r w:rsidRPr="004B194E">
        <w:rPr>
          <w:rFonts w:ascii="Times New Roman" w:hAnsi="Times New Roman" w:cs="Times New Roman"/>
          <w:color w:val="000000" w:themeColor="text1"/>
        </w:rPr>
        <w:t xml:space="preserve"> Strengthen asset classification, NPL reporting, and resolution frameworks</w:t>
      </w:r>
    </w:p>
    <w:p w14:paraId="11869D91"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6. </w:t>
      </w:r>
      <w:r w:rsidRPr="004B194E">
        <w:rPr>
          <w:rFonts w:ascii="Times New Roman" w:hAnsi="Times New Roman" w:cs="Times New Roman"/>
          <w:b/>
          <w:color w:val="000000" w:themeColor="text1"/>
        </w:rPr>
        <w:t>Regulatory Frameworks:</w:t>
      </w:r>
      <w:r w:rsidRPr="004B194E">
        <w:rPr>
          <w:rFonts w:ascii="Times New Roman" w:hAnsi="Times New Roman" w:cs="Times New Roman"/>
          <w:color w:val="000000" w:themeColor="text1"/>
        </w:rPr>
        <w:t xml:space="preserve"> Enhance regulatory and supervisory frameworks per FSAP recommendations</w:t>
      </w:r>
    </w:p>
    <w:p w14:paraId="745788D5"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7. </w:t>
      </w:r>
      <w:r w:rsidRPr="004B194E">
        <w:rPr>
          <w:rFonts w:ascii="Times New Roman" w:hAnsi="Times New Roman" w:cs="Times New Roman"/>
          <w:b/>
          <w:color w:val="000000" w:themeColor="text1"/>
        </w:rPr>
        <w:t>Crisis Management:</w:t>
      </w:r>
      <w:r w:rsidRPr="004B194E">
        <w:rPr>
          <w:rFonts w:ascii="Times New Roman" w:hAnsi="Times New Roman" w:cs="Times New Roman"/>
          <w:color w:val="000000" w:themeColor="text1"/>
        </w:rPr>
        <w:t xml:space="preserve"> Strengthen crisis management and resolution frameworks</w:t>
      </w:r>
    </w:p>
    <w:p w14:paraId="5D294651"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8. </w:t>
      </w:r>
      <w:r w:rsidRPr="004B194E">
        <w:rPr>
          <w:rFonts w:ascii="Times New Roman" w:hAnsi="Times New Roman" w:cs="Times New Roman"/>
          <w:b/>
          <w:color w:val="000000" w:themeColor="text1"/>
        </w:rPr>
        <w:t>AML/CFT:</w:t>
      </w:r>
      <w:r w:rsidRPr="004B194E">
        <w:rPr>
          <w:rFonts w:ascii="Times New Roman" w:hAnsi="Times New Roman" w:cs="Times New Roman"/>
          <w:color w:val="000000" w:themeColor="text1"/>
        </w:rPr>
        <w:t xml:space="preserve"> Implement anti-money laundering and countering the financing of terrorism improvements</w:t>
      </w:r>
    </w:p>
    <w:p w14:paraId="137B83D8"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9. </w:t>
      </w:r>
      <w:r w:rsidRPr="004B194E">
        <w:rPr>
          <w:rFonts w:ascii="Times New Roman" w:hAnsi="Times New Roman" w:cs="Times New Roman"/>
          <w:b/>
          <w:color w:val="000000" w:themeColor="text1"/>
        </w:rPr>
        <w:t>Macroprudential Tools:</w:t>
      </w:r>
      <w:r w:rsidRPr="004B194E">
        <w:rPr>
          <w:rFonts w:ascii="Times New Roman" w:hAnsi="Times New Roman" w:cs="Times New Roman"/>
          <w:color w:val="000000" w:themeColor="text1"/>
        </w:rPr>
        <w:t xml:space="preserve"> Additional macroprudential measures could help mitigate risks from rapid microcredit growth</w:t>
      </w:r>
    </w:p>
    <w:p w14:paraId="047DB6F6"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First Financial Sector Assessment Program (FSAP):</w:t>
      </w:r>
    </w:p>
    <w:p w14:paraId="65E0A566"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The first FSAP was conducted and provided comprehensive recommendations across these dimensions. Authorities are implementing the recommendations as a priority to strengthen financial sector resilience and development.</w:t>
      </w:r>
    </w:p>
    <w:p w14:paraId="7636366F"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2.5 Structural Reform Agenda</w:t>
      </w:r>
    </w:p>
    <w:p w14:paraId="18D32E3F"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Core Priorities:</w:t>
      </w:r>
    </w:p>
    <w:p w14:paraId="78A1EC58"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1. </w:t>
      </w:r>
      <w:r w:rsidRPr="004B194E">
        <w:rPr>
          <w:rFonts w:ascii="Times New Roman" w:hAnsi="Times New Roman" w:cs="Times New Roman"/>
          <w:b/>
          <w:color w:val="000000" w:themeColor="text1"/>
        </w:rPr>
        <w:t>Price and Trade Liberalization:</w:t>
      </w:r>
      <w:r w:rsidRPr="004B194E">
        <w:rPr>
          <w:rFonts w:ascii="Times New Roman" w:hAnsi="Times New Roman" w:cs="Times New Roman"/>
          <w:color w:val="000000" w:themeColor="text1"/>
        </w:rPr>
        <w:t xml:space="preserve"> Complete remaining price liberalization and continue trade opening</w:t>
      </w:r>
    </w:p>
    <w:p w14:paraId="76F4D46A"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lastRenderedPageBreak/>
        <w:t xml:space="preserve">2. </w:t>
      </w:r>
      <w:r w:rsidRPr="004B194E">
        <w:rPr>
          <w:rFonts w:ascii="Times New Roman" w:hAnsi="Times New Roman" w:cs="Times New Roman"/>
          <w:b/>
          <w:color w:val="000000" w:themeColor="text1"/>
        </w:rPr>
        <w:t>SOE Reform:</w:t>
      </w:r>
      <w:r w:rsidRPr="004B194E">
        <w:rPr>
          <w:rFonts w:ascii="Times New Roman" w:hAnsi="Times New Roman" w:cs="Times New Roman"/>
          <w:color w:val="000000" w:themeColor="text1"/>
        </w:rPr>
        <w:t xml:space="preserve"> Phase out SOE support and accelerate privatizations while carrying them out per international best practices</w:t>
      </w:r>
    </w:p>
    <w:p w14:paraId="2985EECE"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3. </w:t>
      </w:r>
      <w:r w:rsidRPr="004B194E">
        <w:rPr>
          <w:rFonts w:ascii="Times New Roman" w:hAnsi="Times New Roman" w:cs="Times New Roman"/>
          <w:b/>
          <w:color w:val="000000" w:themeColor="text1"/>
        </w:rPr>
        <w:t>Governance Improvements:</w:t>
      </w:r>
      <w:r w:rsidRPr="004B194E">
        <w:rPr>
          <w:rFonts w:ascii="Times New Roman" w:hAnsi="Times New Roman" w:cs="Times New Roman"/>
          <w:color w:val="000000" w:themeColor="text1"/>
        </w:rPr>
        <w:t xml:space="preserve"> Make further progress in governance reforms including transparency, accountability improvements, and approval of the National Anti-Corruption Strategy</w:t>
      </w:r>
    </w:p>
    <w:p w14:paraId="122717E6"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4. </w:t>
      </w:r>
      <w:r w:rsidRPr="004B194E">
        <w:rPr>
          <w:rFonts w:ascii="Times New Roman" w:hAnsi="Times New Roman" w:cs="Times New Roman"/>
          <w:b/>
          <w:color w:val="000000" w:themeColor="text1"/>
        </w:rPr>
        <w:t>WTO Accession:</w:t>
      </w:r>
      <w:r w:rsidRPr="004B194E">
        <w:rPr>
          <w:rFonts w:ascii="Times New Roman" w:hAnsi="Times New Roman" w:cs="Times New Roman"/>
          <w:color w:val="000000" w:themeColor="text1"/>
        </w:rPr>
        <w:t xml:space="preserve"> Complete WTO accession process to deepen global trade integration</w:t>
      </w:r>
    </w:p>
    <w:p w14:paraId="00CC9BD7"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5. </w:t>
      </w:r>
      <w:r w:rsidRPr="004B194E">
        <w:rPr>
          <w:rFonts w:ascii="Times New Roman" w:hAnsi="Times New Roman" w:cs="Times New Roman"/>
          <w:b/>
          <w:color w:val="000000" w:themeColor="text1"/>
        </w:rPr>
        <w:t>Energy Sector Reform:</w:t>
      </w:r>
      <w:r w:rsidRPr="004B194E">
        <w:rPr>
          <w:rFonts w:ascii="Times New Roman" w:hAnsi="Times New Roman" w:cs="Times New Roman"/>
          <w:color w:val="000000" w:themeColor="text1"/>
        </w:rPr>
        <w:t xml:space="preserve"> Continue energy sector reforms including tariff adjustments and renewable energy development</w:t>
      </w:r>
    </w:p>
    <w:p w14:paraId="44832CF2"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6. </w:t>
      </w:r>
      <w:r w:rsidRPr="004B194E">
        <w:rPr>
          <w:rFonts w:ascii="Times New Roman" w:hAnsi="Times New Roman" w:cs="Times New Roman"/>
          <w:b/>
          <w:color w:val="000000" w:themeColor="text1"/>
        </w:rPr>
        <w:t>Labor Market Policies:</w:t>
      </w:r>
      <w:r w:rsidRPr="004B194E">
        <w:rPr>
          <w:rFonts w:ascii="Times New Roman" w:hAnsi="Times New Roman" w:cs="Times New Roman"/>
          <w:color w:val="000000" w:themeColor="text1"/>
        </w:rPr>
        <w:t xml:space="preserve"> Advance labor market policies to address youth unemployment and skills mismatches</w:t>
      </w:r>
    </w:p>
    <w:p w14:paraId="77600F56"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7. </w:t>
      </w:r>
      <w:r w:rsidRPr="004B194E">
        <w:rPr>
          <w:rFonts w:ascii="Times New Roman" w:hAnsi="Times New Roman" w:cs="Times New Roman"/>
          <w:b/>
          <w:color w:val="000000" w:themeColor="text1"/>
        </w:rPr>
        <w:t>Climate Policies:</w:t>
      </w:r>
      <w:r w:rsidRPr="004B194E">
        <w:rPr>
          <w:rFonts w:ascii="Times New Roman" w:hAnsi="Times New Roman" w:cs="Times New Roman"/>
          <w:color w:val="000000" w:themeColor="text1"/>
        </w:rPr>
        <w:t xml:space="preserve"> Accelerate climate adaptation and transition efforts</w:t>
      </w:r>
    </w:p>
    <w:p w14:paraId="3B39503A"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8. </w:t>
      </w:r>
      <w:r w:rsidRPr="004B194E">
        <w:rPr>
          <w:rFonts w:ascii="Times New Roman" w:hAnsi="Times New Roman" w:cs="Times New Roman"/>
          <w:b/>
          <w:color w:val="000000" w:themeColor="text1"/>
        </w:rPr>
        <w:t>Data Quality:</w:t>
      </w:r>
      <w:r w:rsidRPr="004B194E">
        <w:rPr>
          <w:rFonts w:ascii="Times New Roman" w:hAnsi="Times New Roman" w:cs="Times New Roman"/>
          <w:color w:val="000000" w:themeColor="text1"/>
        </w:rPr>
        <w:t xml:space="preserve"> Close data gaps and improve data quality for evidence-based policymaking</w:t>
      </w:r>
    </w:p>
    <w:p w14:paraId="20C78FD2" w14:textId="77777777" w:rsidR="008E5991" w:rsidRPr="004B194E" w:rsidRDefault="008E5991" w:rsidP="0000333D">
      <w:pPr>
        <w:spacing w:before="120" w:after="120"/>
        <w:jc w:val="both"/>
        <w:rPr>
          <w:rFonts w:ascii="Times New Roman" w:hAnsi="Times New Roman" w:cs="Times New Roman"/>
          <w:color w:val="000000" w:themeColor="text1"/>
        </w:rPr>
      </w:pPr>
    </w:p>
    <w:p w14:paraId="1CD549B7" w14:textId="77777777" w:rsidR="00E20A23" w:rsidRDefault="00E20A23" w:rsidP="0000333D">
      <w:pPr>
        <w:pStyle w:val="Heading1"/>
        <w:jc w:val="both"/>
        <w:sectPr w:rsidR="00E20A23" w:rsidSect="00034616">
          <w:pgSz w:w="12240" w:h="15840"/>
          <w:pgMar w:top="1440" w:right="1800" w:bottom="1440" w:left="1800" w:header="720" w:footer="720" w:gutter="0"/>
          <w:cols w:space="720"/>
          <w:docGrid w:linePitch="360"/>
        </w:sectPr>
      </w:pPr>
    </w:p>
    <w:p w14:paraId="22E54175" w14:textId="77777777" w:rsidR="008E5991" w:rsidRPr="004B194E" w:rsidRDefault="00000000" w:rsidP="0000333D">
      <w:pPr>
        <w:pStyle w:val="Heading1"/>
        <w:jc w:val="both"/>
      </w:pPr>
      <w:r w:rsidRPr="004B194E">
        <w:lastRenderedPageBreak/>
        <w:t>3. FISCAL AND DEBT ANALYSIS</w:t>
      </w:r>
    </w:p>
    <w:p w14:paraId="500CFAFF"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3.1 Fiscal Balance Trends</w:t>
      </w:r>
    </w:p>
    <w:p w14:paraId="1D05EC25"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Table 5: Consolidated Fiscal Position (% of GDP)</w:t>
      </w:r>
    </w:p>
    <w:tbl>
      <w:tblPr>
        <w:tblStyle w:val="LightGrid-Accent1"/>
        <w:tblW w:w="0" w:type="auto"/>
        <w:tblLook w:val="04A0" w:firstRow="1" w:lastRow="0" w:firstColumn="1" w:lastColumn="0" w:noHBand="0" w:noVBand="1"/>
      </w:tblPr>
      <w:tblGrid>
        <w:gridCol w:w="1818"/>
        <w:gridCol w:w="1406"/>
        <w:gridCol w:w="1407"/>
        <w:gridCol w:w="1407"/>
        <w:gridCol w:w="1409"/>
        <w:gridCol w:w="1409"/>
      </w:tblGrid>
      <w:tr w:rsidR="004B194E" w:rsidRPr="004B194E" w14:paraId="26358AA5" w14:textId="77777777" w:rsidTr="008E5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7410350"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Indicator</w:t>
            </w:r>
          </w:p>
        </w:tc>
        <w:tc>
          <w:tcPr>
            <w:tcW w:w="1440" w:type="dxa"/>
          </w:tcPr>
          <w:p w14:paraId="6428CC8E"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2022</w:t>
            </w:r>
          </w:p>
        </w:tc>
        <w:tc>
          <w:tcPr>
            <w:tcW w:w="1440" w:type="dxa"/>
          </w:tcPr>
          <w:p w14:paraId="0C3C6225"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2023</w:t>
            </w:r>
          </w:p>
        </w:tc>
        <w:tc>
          <w:tcPr>
            <w:tcW w:w="1440" w:type="dxa"/>
          </w:tcPr>
          <w:p w14:paraId="038DD0E7"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2024 (Est.)</w:t>
            </w:r>
          </w:p>
        </w:tc>
        <w:tc>
          <w:tcPr>
            <w:tcW w:w="1440" w:type="dxa"/>
          </w:tcPr>
          <w:p w14:paraId="7293EEE1"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2025 (Proj.)</w:t>
            </w:r>
          </w:p>
        </w:tc>
        <w:tc>
          <w:tcPr>
            <w:tcW w:w="1440" w:type="dxa"/>
          </w:tcPr>
          <w:p w14:paraId="30401A16"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2026 (Proj.)</w:t>
            </w:r>
          </w:p>
        </w:tc>
      </w:tr>
      <w:tr w:rsidR="004B194E" w:rsidRPr="004B194E" w14:paraId="798A51C7"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F14AECF"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**Consolidated Overall Balance**</w:t>
            </w:r>
          </w:p>
        </w:tc>
        <w:tc>
          <w:tcPr>
            <w:tcW w:w="1440" w:type="dxa"/>
          </w:tcPr>
          <w:p w14:paraId="0783375C"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-3.5%</w:t>
            </w:r>
          </w:p>
        </w:tc>
        <w:tc>
          <w:tcPr>
            <w:tcW w:w="1440" w:type="dxa"/>
          </w:tcPr>
          <w:p w14:paraId="4FEF7726"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-4.9%</w:t>
            </w:r>
          </w:p>
        </w:tc>
        <w:tc>
          <w:tcPr>
            <w:tcW w:w="1440" w:type="dxa"/>
          </w:tcPr>
          <w:p w14:paraId="30BAC585"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-3.2%</w:t>
            </w:r>
          </w:p>
        </w:tc>
        <w:tc>
          <w:tcPr>
            <w:tcW w:w="1440" w:type="dxa"/>
          </w:tcPr>
          <w:p w14:paraId="08385B8F"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-3.0%</w:t>
            </w:r>
          </w:p>
        </w:tc>
        <w:tc>
          <w:tcPr>
            <w:tcW w:w="1440" w:type="dxa"/>
          </w:tcPr>
          <w:p w14:paraId="751D2110"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-3.0%</w:t>
            </w:r>
          </w:p>
        </w:tc>
      </w:tr>
      <w:tr w:rsidR="004B194E" w:rsidRPr="004B194E" w14:paraId="003E2F7C"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4A703FF2"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**Adjusted Overall Balance**</w:t>
            </w:r>
          </w:p>
        </w:tc>
        <w:tc>
          <w:tcPr>
            <w:tcW w:w="1440" w:type="dxa"/>
          </w:tcPr>
          <w:p w14:paraId="4F51FC1B"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-3.7%</w:t>
            </w:r>
          </w:p>
        </w:tc>
        <w:tc>
          <w:tcPr>
            <w:tcW w:w="1440" w:type="dxa"/>
          </w:tcPr>
          <w:p w14:paraId="174185CE"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-4.0%</w:t>
            </w:r>
          </w:p>
        </w:tc>
        <w:tc>
          <w:tcPr>
            <w:tcW w:w="1440" w:type="dxa"/>
          </w:tcPr>
          <w:p w14:paraId="47B6FC30"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-2.3%</w:t>
            </w:r>
          </w:p>
        </w:tc>
        <w:tc>
          <w:tcPr>
            <w:tcW w:w="1440" w:type="dxa"/>
          </w:tcPr>
          <w:p w14:paraId="51F59ACC"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-2.0%</w:t>
            </w:r>
          </w:p>
        </w:tc>
        <w:tc>
          <w:tcPr>
            <w:tcW w:w="1440" w:type="dxa"/>
          </w:tcPr>
          <w:p w14:paraId="56406A63"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-2.3%</w:t>
            </w:r>
          </w:p>
        </w:tc>
      </w:tr>
      <w:tr w:rsidR="004B194E" w:rsidRPr="004B194E" w14:paraId="57274B68"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CB06184"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**Primary Balance (</w:t>
            </w:r>
            <w:proofErr w:type="gramStart"/>
            <w:r w:rsidRPr="004B194E">
              <w:rPr>
                <w:rFonts w:ascii="Times New Roman" w:hAnsi="Times New Roman" w:cs="Times New Roman"/>
                <w:color w:val="000000" w:themeColor="text1"/>
              </w:rPr>
              <w:t>Est.)*</w:t>
            </w:r>
            <w:proofErr w:type="gramEnd"/>
            <w:r w:rsidRPr="004B194E">
              <w:rPr>
                <w:rFonts w:ascii="Times New Roman" w:hAnsi="Times New Roman" w:cs="Times New Roman"/>
                <w:color w:val="000000" w:themeColor="text1"/>
              </w:rPr>
              <w:t>*</w:t>
            </w:r>
          </w:p>
        </w:tc>
        <w:tc>
          <w:tcPr>
            <w:tcW w:w="1440" w:type="dxa"/>
          </w:tcPr>
          <w:p w14:paraId="4599EB02"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-2.6%</w:t>
            </w:r>
          </w:p>
        </w:tc>
        <w:tc>
          <w:tcPr>
            <w:tcW w:w="1440" w:type="dxa"/>
          </w:tcPr>
          <w:p w14:paraId="3CD97CB9"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-3.1%</w:t>
            </w:r>
          </w:p>
        </w:tc>
        <w:tc>
          <w:tcPr>
            <w:tcW w:w="1440" w:type="dxa"/>
          </w:tcPr>
          <w:p w14:paraId="7E92AC9B"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-1.4%</w:t>
            </w:r>
          </w:p>
        </w:tc>
        <w:tc>
          <w:tcPr>
            <w:tcW w:w="1440" w:type="dxa"/>
          </w:tcPr>
          <w:p w14:paraId="5BF4A99F"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-1.2%</w:t>
            </w:r>
          </w:p>
        </w:tc>
        <w:tc>
          <w:tcPr>
            <w:tcW w:w="1440" w:type="dxa"/>
          </w:tcPr>
          <w:p w14:paraId="541C2794"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-1.2%</w:t>
            </w:r>
          </w:p>
        </w:tc>
      </w:tr>
      <w:tr w:rsidR="004B194E" w:rsidRPr="004B194E" w14:paraId="4689BEAB"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984AB2D"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**Revenues (Consolidated)**</w:t>
            </w:r>
          </w:p>
        </w:tc>
        <w:tc>
          <w:tcPr>
            <w:tcW w:w="1440" w:type="dxa"/>
          </w:tcPr>
          <w:p w14:paraId="11A7A163"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28.8%</w:t>
            </w:r>
          </w:p>
        </w:tc>
        <w:tc>
          <w:tcPr>
            <w:tcW w:w="1440" w:type="dxa"/>
          </w:tcPr>
          <w:p w14:paraId="66E703BE"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26.7%</w:t>
            </w:r>
          </w:p>
        </w:tc>
        <w:tc>
          <w:tcPr>
            <w:tcW w:w="1440" w:type="dxa"/>
          </w:tcPr>
          <w:p w14:paraId="47877361"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26.5%</w:t>
            </w:r>
          </w:p>
        </w:tc>
        <w:tc>
          <w:tcPr>
            <w:tcW w:w="1440" w:type="dxa"/>
          </w:tcPr>
          <w:p w14:paraId="32622489"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26.3%</w:t>
            </w:r>
          </w:p>
        </w:tc>
        <w:tc>
          <w:tcPr>
            <w:tcW w:w="1440" w:type="dxa"/>
          </w:tcPr>
          <w:p w14:paraId="7A205C81"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26.4%</w:t>
            </w:r>
          </w:p>
        </w:tc>
      </w:tr>
      <w:tr w:rsidR="004B194E" w:rsidRPr="004B194E" w14:paraId="0070656B"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D647F10"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**Revenues (Adjusted)**</w:t>
            </w:r>
          </w:p>
        </w:tc>
        <w:tc>
          <w:tcPr>
            <w:tcW w:w="1440" w:type="dxa"/>
          </w:tcPr>
          <w:p w14:paraId="036B5398"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27.7%</w:t>
            </w:r>
          </w:p>
        </w:tc>
        <w:tc>
          <w:tcPr>
            <w:tcW w:w="1440" w:type="dxa"/>
          </w:tcPr>
          <w:p w14:paraId="4772AC56"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25.9%</w:t>
            </w:r>
          </w:p>
        </w:tc>
        <w:tc>
          <w:tcPr>
            <w:tcW w:w="1440" w:type="dxa"/>
          </w:tcPr>
          <w:p w14:paraId="154A28F9"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25.5%</w:t>
            </w:r>
          </w:p>
        </w:tc>
        <w:tc>
          <w:tcPr>
            <w:tcW w:w="1440" w:type="dxa"/>
          </w:tcPr>
          <w:p w14:paraId="5912A81B"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25.3%</w:t>
            </w:r>
          </w:p>
        </w:tc>
        <w:tc>
          <w:tcPr>
            <w:tcW w:w="1440" w:type="dxa"/>
          </w:tcPr>
          <w:p w14:paraId="3BC7F0DF"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25.5%</w:t>
            </w:r>
          </w:p>
        </w:tc>
      </w:tr>
      <w:tr w:rsidR="004B194E" w:rsidRPr="004B194E" w14:paraId="0AFE4954"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72EF7B81"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**Expenditures (Consolidated)**</w:t>
            </w:r>
          </w:p>
        </w:tc>
        <w:tc>
          <w:tcPr>
            <w:tcW w:w="1440" w:type="dxa"/>
          </w:tcPr>
          <w:p w14:paraId="6862088F"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32.3%</w:t>
            </w:r>
          </w:p>
        </w:tc>
        <w:tc>
          <w:tcPr>
            <w:tcW w:w="1440" w:type="dxa"/>
          </w:tcPr>
          <w:p w14:paraId="13EF55B4"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31.6%</w:t>
            </w:r>
          </w:p>
        </w:tc>
        <w:tc>
          <w:tcPr>
            <w:tcW w:w="1440" w:type="dxa"/>
          </w:tcPr>
          <w:p w14:paraId="5FB7A89D"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29.7%</w:t>
            </w:r>
          </w:p>
        </w:tc>
        <w:tc>
          <w:tcPr>
            <w:tcW w:w="1440" w:type="dxa"/>
          </w:tcPr>
          <w:p w14:paraId="23CC8127"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29.3%</w:t>
            </w:r>
          </w:p>
        </w:tc>
        <w:tc>
          <w:tcPr>
            <w:tcW w:w="1440" w:type="dxa"/>
          </w:tcPr>
          <w:p w14:paraId="77838124"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29.4%</w:t>
            </w:r>
          </w:p>
        </w:tc>
      </w:tr>
      <w:tr w:rsidR="004B194E" w:rsidRPr="004B194E" w14:paraId="6E16143C"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84FC9BF"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**Expenditures (Adjusted)**</w:t>
            </w:r>
          </w:p>
        </w:tc>
        <w:tc>
          <w:tcPr>
            <w:tcW w:w="1440" w:type="dxa"/>
          </w:tcPr>
          <w:p w14:paraId="07FB8100"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31.3%</w:t>
            </w:r>
          </w:p>
        </w:tc>
        <w:tc>
          <w:tcPr>
            <w:tcW w:w="1440" w:type="dxa"/>
          </w:tcPr>
          <w:p w14:paraId="5690A3F5"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29.9%</w:t>
            </w:r>
          </w:p>
        </w:tc>
        <w:tc>
          <w:tcPr>
            <w:tcW w:w="1440" w:type="dxa"/>
          </w:tcPr>
          <w:p w14:paraId="05EEC85F"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27.8%</w:t>
            </w:r>
          </w:p>
        </w:tc>
        <w:tc>
          <w:tcPr>
            <w:tcW w:w="1440" w:type="dxa"/>
          </w:tcPr>
          <w:p w14:paraId="34899A3D"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27.3%</w:t>
            </w:r>
          </w:p>
        </w:tc>
        <w:tc>
          <w:tcPr>
            <w:tcW w:w="1440" w:type="dxa"/>
          </w:tcPr>
          <w:p w14:paraId="1DEED2B4"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27.8%</w:t>
            </w:r>
          </w:p>
        </w:tc>
      </w:tr>
      <w:tr w:rsidR="004B194E" w:rsidRPr="004B194E" w14:paraId="26B93F5D"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013419F"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**Policy-Based Lending**</w:t>
            </w:r>
          </w:p>
        </w:tc>
        <w:tc>
          <w:tcPr>
            <w:tcW w:w="1440" w:type="dxa"/>
          </w:tcPr>
          <w:p w14:paraId="5DC96C78"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0.1%</w:t>
            </w:r>
          </w:p>
        </w:tc>
        <w:tc>
          <w:tcPr>
            <w:tcW w:w="1440" w:type="dxa"/>
          </w:tcPr>
          <w:p w14:paraId="13530D2A"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0.9%</w:t>
            </w:r>
          </w:p>
        </w:tc>
        <w:tc>
          <w:tcPr>
            <w:tcW w:w="1440" w:type="dxa"/>
          </w:tcPr>
          <w:p w14:paraId="742CC85D"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0.9%</w:t>
            </w:r>
          </w:p>
        </w:tc>
        <w:tc>
          <w:tcPr>
            <w:tcW w:w="1440" w:type="dxa"/>
          </w:tcPr>
          <w:p w14:paraId="750F9C41"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1.0%</w:t>
            </w:r>
          </w:p>
        </w:tc>
        <w:tc>
          <w:tcPr>
            <w:tcW w:w="1440" w:type="dxa"/>
          </w:tcPr>
          <w:p w14:paraId="72EA6F35"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0.7%</w:t>
            </w:r>
          </w:p>
        </w:tc>
      </w:tr>
    </w:tbl>
    <w:p w14:paraId="2BC0970C" w14:textId="77777777" w:rsidR="008E5991" w:rsidRPr="004B194E" w:rsidRDefault="008E5991" w:rsidP="0000333D">
      <w:pPr>
        <w:jc w:val="both"/>
        <w:rPr>
          <w:rFonts w:ascii="Times New Roman" w:hAnsi="Times New Roman" w:cs="Times New Roman"/>
          <w:color w:val="000000" w:themeColor="text1"/>
        </w:rPr>
      </w:pPr>
    </w:p>
    <w:p w14:paraId="166F6D0C"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The consolidated fiscal deficit narrowed significantly by 1.7 percentage points to 3.2% of GDP in 2024, largely through growth-friendly expenditure measures. The adjusted fiscal balance (excluding financing operations) shows even stronger consolidation, improving from -4.0% (2023) to -2.3% (2024).</w:t>
      </w:r>
    </w:p>
    <w:p w14:paraId="4BB715FD"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3.2 Revenue Performance and Challenges</w:t>
      </w:r>
    </w:p>
    <w:p w14:paraId="49D36054"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A concerning trend is the decline in the tax-to-GDP ratio, which has fallen from 27.7% (2022) to 25.5% (2024) on an adjusted basis. This decline needs reversing to create fiscal space for priority social and development needs.</w:t>
      </w:r>
    </w:p>
    <w:p w14:paraId="4D23530D"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Revenue Enhancement Priorities:</w:t>
      </w:r>
    </w:p>
    <w:p w14:paraId="5F360013"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Broaden the tax base through comprehensive tax reform</w:t>
      </w:r>
    </w:p>
    <w:p w14:paraId="35ADB763"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Improve tax administration and compliance</w:t>
      </w:r>
    </w:p>
    <w:p w14:paraId="64612CAD"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Rationalize tax exemptions and incentives</w:t>
      </w:r>
    </w:p>
    <w:p w14:paraId="7EFBCF45"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Enhance customs revenue collection</w:t>
      </w:r>
    </w:p>
    <w:p w14:paraId="1D4B95E3"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Develop non-tax revenue sources</w:t>
      </w:r>
    </w:p>
    <w:p w14:paraId="77C1D6D7"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lastRenderedPageBreak/>
        <w:t>3.3 Expenditure Composition and Efficiency</w:t>
      </w:r>
    </w:p>
    <w:p w14:paraId="625BEAD8"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While expenditure-to-GDP ratios have declined, driven largely by fiscal consolidation efforts, there is significant room to improve expenditure efficiency. The government has implemented growth-friendly expenditure measures, focusing resources on productive investment and social priorities while containing current spending growth.</w:t>
      </w:r>
    </w:p>
    <w:p w14:paraId="7B4D3A4E"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Policy-based lending adds between 0.7-1.0% of GDP annually, representing quasi-fiscal operations that support strategic sectors but require careful management and transparency.</w:t>
      </w:r>
    </w:p>
    <w:p w14:paraId="5CC2BA5F"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3.4 Public Debt Sustainability</w:t>
      </w:r>
    </w:p>
    <w:p w14:paraId="3574A80D"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Table 6: Public Debt Indicators (% of GDP)</w:t>
      </w:r>
    </w:p>
    <w:tbl>
      <w:tblPr>
        <w:tblStyle w:val="LightGrid-Accent1"/>
        <w:tblW w:w="0" w:type="auto"/>
        <w:tblLook w:val="04A0" w:firstRow="1" w:lastRow="0" w:firstColumn="1" w:lastColumn="0" w:noHBand="0" w:noVBand="1"/>
      </w:tblPr>
      <w:tblGrid>
        <w:gridCol w:w="1440"/>
        <w:gridCol w:w="1440"/>
        <w:gridCol w:w="1440"/>
        <w:gridCol w:w="1440"/>
        <w:gridCol w:w="1440"/>
        <w:gridCol w:w="1440"/>
      </w:tblGrid>
      <w:tr w:rsidR="004B194E" w:rsidRPr="004B194E" w14:paraId="157D78FD" w14:textId="77777777" w:rsidTr="008E5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75FD6E2"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Indicator</w:t>
            </w:r>
          </w:p>
        </w:tc>
        <w:tc>
          <w:tcPr>
            <w:tcW w:w="1440" w:type="dxa"/>
          </w:tcPr>
          <w:p w14:paraId="12C385FA"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2022</w:t>
            </w:r>
          </w:p>
        </w:tc>
        <w:tc>
          <w:tcPr>
            <w:tcW w:w="1440" w:type="dxa"/>
          </w:tcPr>
          <w:p w14:paraId="71F7948B"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2023</w:t>
            </w:r>
          </w:p>
        </w:tc>
        <w:tc>
          <w:tcPr>
            <w:tcW w:w="1440" w:type="dxa"/>
          </w:tcPr>
          <w:p w14:paraId="420A98B3"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2024 (Est.)</w:t>
            </w:r>
          </w:p>
        </w:tc>
        <w:tc>
          <w:tcPr>
            <w:tcW w:w="1440" w:type="dxa"/>
          </w:tcPr>
          <w:p w14:paraId="2B90DCC7"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2025 (Proj.)</w:t>
            </w:r>
          </w:p>
        </w:tc>
        <w:tc>
          <w:tcPr>
            <w:tcW w:w="1440" w:type="dxa"/>
          </w:tcPr>
          <w:p w14:paraId="6F727849"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2026 (Proj.)</w:t>
            </w:r>
          </w:p>
        </w:tc>
      </w:tr>
      <w:tr w:rsidR="004B194E" w:rsidRPr="004B194E" w14:paraId="402661E2"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9974E1E"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**Public Debt**</w:t>
            </w:r>
          </w:p>
        </w:tc>
        <w:tc>
          <w:tcPr>
            <w:tcW w:w="1440" w:type="dxa"/>
          </w:tcPr>
          <w:p w14:paraId="0C9C7DF6"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30.5%</w:t>
            </w:r>
          </w:p>
        </w:tc>
        <w:tc>
          <w:tcPr>
            <w:tcW w:w="1440" w:type="dxa"/>
          </w:tcPr>
          <w:p w14:paraId="6A990E85"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32.2%</w:t>
            </w:r>
          </w:p>
        </w:tc>
        <w:tc>
          <w:tcPr>
            <w:tcW w:w="1440" w:type="dxa"/>
          </w:tcPr>
          <w:p w14:paraId="0CCF0173"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32.6%</w:t>
            </w:r>
          </w:p>
        </w:tc>
        <w:tc>
          <w:tcPr>
            <w:tcW w:w="1440" w:type="dxa"/>
          </w:tcPr>
          <w:p w14:paraId="7C77594A"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33.3%</w:t>
            </w:r>
          </w:p>
        </w:tc>
        <w:tc>
          <w:tcPr>
            <w:tcW w:w="1440" w:type="dxa"/>
          </w:tcPr>
          <w:p w14:paraId="09A954C9"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33.2%</w:t>
            </w:r>
          </w:p>
        </w:tc>
      </w:tr>
      <w:tr w:rsidR="004B194E" w:rsidRPr="004B194E" w14:paraId="19952337"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B860427"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**External Debt**</w:t>
            </w:r>
          </w:p>
        </w:tc>
        <w:tc>
          <w:tcPr>
            <w:tcW w:w="1440" w:type="dxa"/>
          </w:tcPr>
          <w:p w14:paraId="7F5A18F7"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49.2%</w:t>
            </w:r>
          </w:p>
        </w:tc>
        <w:tc>
          <w:tcPr>
            <w:tcW w:w="1440" w:type="dxa"/>
          </w:tcPr>
          <w:p w14:paraId="3E7CC2E7"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54.5%</w:t>
            </w:r>
          </w:p>
        </w:tc>
        <w:tc>
          <w:tcPr>
            <w:tcW w:w="1440" w:type="dxa"/>
          </w:tcPr>
          <w:p w14:paraId="534DE578"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56.2%</w:t>
            </w:r>
          </w:p>
        </w:tc>
        <w:tc>
          <w:tcPr>
            <w:tcW w:w="1440" w:type="dxa"/>
          </w:tcPr>
          <w:p w14:paraId="6E69065B"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55.4%</w:t>
            </w:r>
          </w:p>
        </w:tc>
        <w:tc>
          <w:tcPr>
            <w:tcW w:w="1440" w:type="dxa"/>
          </w:tcPr>
          <w:p w14:paraId="4E25C220"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55.2%</w:t>
            </w:r>
          </w:p>
        </w:tc>
      </w:tr>
    </w:tbl>
    <w:p w14:paraId="0974A371" w14:textId="77777777" w:rsidR="008E5991" w:rsidRPr="004B194E" w:rsidRDefault="008E5991" w:rsidP="0000333D">
      <w:pPr>
        <w:jc w:val="both"/>
        <w:rPr>
          <w:rFonts w:ascii="Times New Roman" w:hAnsi="Times New Roman" w:cs="Times New Roman"/>
          <w:color w:val="000000" w:themeColor="text1"/>
        </w:rPr>
      </w:pPr>
    </w:p>
    <w:p w14:paraId="5AAECAD7"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Public debt remains moderate and manageable at approximately 33% of GDP through the projection period. However, this headline figure understates fiscal risks due to significant contingent liabilities from PPPs (approximately 27% of GDP) and SOEs.</w:t>
      </w:r>
    </w:p>
    <w:p w14:paraId="7EA87B0F"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Debt Sustainability Assessment (DSA) Findings:</w:t>
      </w:r>
    </w:p>
    <w:p w14:paraId="2085F04D"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Risk Rating: Moderate</w:t>
      </w:r>
    </w:p>
    <w:p w14:paraId="4D608B92"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Overall Assessment: Debt assessed as sustainable with moderate risks</w:t>
      </w:r>
    </w:p>
    <w:p w14:paraId="0BD73277"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Key Vulnerabilities: Contingent liabilities from PPPs (27% GDP with potential up to 34%) and SOEs; commodity price sensitivity (gold, cotton, gas); exchange rate depreciation risk given external debt share</w:t>
      </w:r>
    </w:p>
    <w:p w14:paraId="59B7AB36"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Mitigating Factors: Strong multilateral support, continued reform momentum, ample international reserves, moderate baseline debt levels</w:t>
      </w:r>
    </w:p>
    <w:p w14:paraId="7630285B"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Stress Test Binding Constraints: Commodity price shocks, tighter external financing, contingent liability materialization, slower growth from reform delays, exchange rate depreciation</w:t>
      </w:r>
    </w:p>
    <w:p w14:paraId="308920EC"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3.5 External Debt Profile</w:t>
      </w:r>
    </w:p>
    <w:p w14:paraId="17C0CCF0"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External debt has risen from 49.2% of GDP (2022) to 56.2% (2024), stabilizing around 55% through 2026. The external debt comprises a mix of multilateral, bilateral, and commercial financing sources.</w:t>
      </w:r>
    </w:p>
    <w:p w14:paraId="5A82C670"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Sovereign Credit Ratings:</w:t>
      </w:r>
    </w:p>
    <w:p w14:paraId="660399D1"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Moody's: Ba3 (stable outlook)</w:t>
      </w:r>
    </w:p>
    <w:p w14:paraId="3330CCAE"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Standard &amp; Poor's: BB- (stable outlook)</w:t>
      </w:r>
    </w:p>
    <w:p w14:paraId="7228FC4F"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Fitch: BB (stable outlook)</w:t>
      </w:r>
    </w:p>
    <w:p w14:paraId="29645F62"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lastRenderedPageBreak/>
        <w:t>These sub-investment grade but improving ratings reflect Uzbekistan's reform progress, moderate debt levels, and growth potential, while acknowledging remaining challenges in governance, institutional capacity, and structural transformation.</w:t>
      </w:r>
    </w:p>
    <w:p w14:paraId="0AABEFAC"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3.6 Debt Financing and Market Access</w:t>
      </w:r>
    </w:p>
    <w:p w14:paraId="01164E63"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Uzbekistan benefits from strong multilateral support for concessional and market-based financing from:</w:t>
      </w:r>
    </w:p>
    <w:p w14:paraId="4FC9E895"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International Monetary Fund (IMF) - technical assistance</w:t>
      </w:r>
    </w:p>
    <w:p w14:paraId="0FEC73F3"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World Bank - infrastructure and development programs</w:t>
      </w:r>
    </w:p>
    <w:p w14:paraId="7D28EBB8"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Asian Development Bank (ADB) - infrastructure and policy lending</w:t>
      </w:r>
    </w:p>
    <w:p w14:paraId="25E7E5C2"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European Bank for Reconstruction and Development (EBRD) - project finance and policy dialogue</w:t>
      </w:r>
    </w:p>
    <w:p w14:paraId="4C661D51"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Islamic Development Bank and other bilateral lenders</w:t>
      </w:r>
    </w:p>
    <w:p w14:paraId="047F7E1A"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The PPP Program 2025-2030 envisages significant infrastructure financing needs, potentially requiring increased sovereign bond issuance in international markets as creditworthiness continues to improve.</w:t>
      </w:r>
    </w:p>
    <w:p w14:paraId="2A155E79"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3.7 Fiscal Rules and Frameworks</w:t>
      </w:r>
    </w:p>
    <w:p w14:paraId="10D6162F"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Borrowing Limits:</w:t>
      </w:r>
      <w:r w:rsidRPr="004B194E">
        <w:rPr>
          <w:rFonts w:ascii="Times New Roman" w:hAnsi="Times New Roman" w:cs="Times New Roman"/>
          <w:color w:val="000000" w:themeColor="text1"/>
        </w:rPr>
        <w:t xml:space="preserve"> Authorities maintain external borrowing limits to guard fiscal stability. Adhering to these limits is essential for maintaining debt sustainability and market confidence.</w:t>
      </w:r>
    </w:p>
    <w:p w14:paraId="001DD4D5"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PPP Commitment Caps:</w:t>
      </w:r>
      <w:r w:rsidRPr="004B194E">
        <w:rPr>
          <w:rFonts w:ascii="Times New Roman" w:hAnsi="Times New Roman" w:cs="Times New Roman"/>
          <w:color w:val="000000" w:themeColor="text1"/>
        </w:rPr>
        <w:t xml:space="preserve"> The government caps annual PPP budget commitments to prevent excessive accumulation of contingent liabilities, recognizing the fiscal risks from the large and growing PPP portfolio.</w:t>
      </w:r>
    </w:p>
    <w:p w14:paraId="137A94FF"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Fiscal Framework Objectives:</w:t>
      </w:r>
    </w:p>
    <w:p w14:paraId="60B2B528"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Keep debt at moderate levels while accommodating development needs</w:t>
      </w:r>
    </w:p>
    <w:p w14:paraId="42DCA26B"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Ensure fiscal sustainability over the medium term</w:t>
      </w:r>
    </w:p>
    <w:p w14:paraId="254FBB97"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Create fiscal space for priority social and development spending</w:t>
      </w:r>
    </w:p>
    <w:p w14:paraId="7EDC45BA"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Manage fiscal risks from SOEs and PPPs</w:t>
      </w:r>
    </w:p>
    <w:p w14:paraId="636BE169" w14:textId="77777777" w:rsidR="008E5991" w:rsidRPr="004B194E" w:rsidRDefault="008E5991" w:rsidP="0000333D">
      <w:pPr>
        <w:spacing w:before="120" w:after="120"/>
        <w:jc w:val="both"/>
        <w:rPr>
          <w:rFonts w:ascii="Times New Roman" w:hAnsi="Times New Roman" w:cs="Times New Roman"/>
          <w:color w:val="000000" w:themeColor="text1"/>
        </w:rPr>
      </w:pPr>
    </w:p>
    <w:p w14:paraId="3D79B0CC" w14:textId="77777777" w:rsidR="00E20A23" w:rsidRDefault="00E20A23" w:rsidP="0000333D">
      <w:pPr>
        <w:pStyle w:val="Heading1"/>
        <w:jc w:val="both"/>
        <w:sectPr w:rsidR="00E20A23" w:rsidSect="00034616">
          <w:pgSz w:w="12240" w:h="15840"/>
          <w:pgMar w:top="1440" w:right="1800" w:bottom="1440" w:left="1800" w:header="720" w:footer="720" w:gutter="0"/>
          <w:cols w:space="720"/>
          <w:docGrid w:linePitch="360"/>
        </w:sectPr>
      </w:pPr>
    </w:p>
    <w:p w14:paraId="3CB36844" w14:textId="77777777" w:rsidR="008E5991" w:rsidRPr="004B194E" w:rsidRDefault="00000000" w:rsidP="0000333D">
      <w:pPr>
        <w:pStyle w:val="Heading1"/>
        <w:jc w:val="both"/>
      </w:pPr>
      <w:r w:rsidRPr="004B194E">
        <w:lastRenderedPageBreak/>
        <w:t>4. EXTERNAL SECTOR PERFORMANCE</w:t>
      </w:r>
    </w:p>
    <w:p w14:paraId="49B3BA7D"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4.1 Current Account Balance</w:t>
      </w:r>
    </w:p>
    <w:p w14:paraId="0F0639AF"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Table 7: Current Account Trends (% of GDP)</w:t>
      </w:r>
    </w:p>
    <w:tbl>
      <w:tblPr>
        <w:tblStyle w:val="LightGrid-Accent1"/>
        <w:tblW w:w="0" w:type="auto"/>
        <w:tblLook w:val="04A0" w:firstRow="1" w:lastRow="0" w:firstColumn="1" w:lastColumn="0" w:noHBand="0" w:noVBand="1"/>
      </w:tblPr>
      <w:tblGrid>
        <w:gridCol w:w="2880"/>
        <w:gridCol w:w="2880"/>
        <w:gridCol w:w="2880"/>
      </w:tblGrid>
      <w:tr w:rsidR="004B194E" w:rsidRPr="004B194E" w14:paraId="44B6EE97" w14:textId="77777777" w:rsidTr="008E5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DFB41B"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Year</w:t>
            </w:r>
          </w:p>
        </w:tc>
        <w:tc>
          <w:tcPr>
            <w:tcW w:w="2880" w:type="dxa"/>
          </w:tcPr>
          <w:p w14:paraId="2D0D5F3A"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Current Account Balance</w:t>
            </w:r>
          </w:p>
        </w:tc>
        <w:tc>
          <w:tcPr>
            <w:tcW w:w="2880" w:type="dxa"/>
          </w:tcPr>
          <w:p w14:paraId="750B11CD"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Key Drivers</w:t>
            </w:r>
          </w:p>
        </w:tc>
      </w:tr>
      <w:tr w:rsidR="004B194E" w:rsidRPr="004B194E" w14:paraId="2F8B2941"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8EC0048"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2022</w:t>
            </w:r>
          </w:p>
        </w:tc>
        <w:tc>
          <w:tcPr>
            <w:tcW w:w="2880" w:type="dxa"/>
          </w:tcPr>
          <w:p w14:paraId="50D3936F"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-3.2%</w:t>
            </w:r>
          </w:p>
        </w:tc>
        <w:tc>
          <w:tcPr>
            <w:tcW w:w="2880" w:type="dxa"/>
          </w:tcPr>
          <w:p w14:paraId="5FCBFBE3"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Moderate deficit, commodity export support</w:t>
            </w:r>
          </w:p>
        </w:tc>
      </w:tr>
      <w:tr w:rsidR="004B194E" w:rsidRPr="004B194E" w14:paraId="2C4E5A17"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8BA6AC6"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2023</w:t>
            </w:r>
          </w:p>
        </w:tc>
        <w:tc>
          <w:tcPr>
            <w:tcW w:w="2880" w:type="dxa"/>
          </w:tcPr>
          <w:p w14:paraId="729EDE55"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-7.6%</w:t>
            </w:r>
          </w:p>
        </w:tc>
        <w:tc>
          <w:tcPr>
            <w:tcW w:w="2880" w:type="dxa"/>
          </w:tcPr>
          <w:p w14:paraId="53C449C1"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Widened due to one-off import spike</w:t>
            </w:r>
          </w:p>
        </w:tc>
      </w:tr>
      <w:tr w:rsidR="004B194E" w:rsidRPr="004B194E" w14:paraId="3FD19C70"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E2EA30"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2024</w:t>
            </w:r>
          </w:p>
        </w:tc>
        <w:tc>
          <w:tcPr>
            <w:tcW w:w="2880" w:type="dxa"/>
          </w:tcPr>
          <w:p w14:paraId="203F185E"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-5.0%</w:t>
            </w:r>
          </w:p>
        </w:tc>
        <w:tc>
          <w:tcPr>
            <w:tcW w:w="2880" w:type="dxa"/>
          </w:tcPr>
          <w:p w14:paraId="2F969B53"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Narrowed by 2.6 ppts - strong improvement</w:t>
            </w:r>
          </w:p>
        </w:tc>
      </w:tr>
      <w:tr w:rsidR="004B194E" w:rsidRPr="004B194E" w14:paraId="2EA71B0A"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76B53FF"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2025 (</w:t>
            </w:r>
            <w:proofErr w:type="spellStart"/>
            <w:r w:rsidRPr="004B194E">
              <w:rPr>
                <w:rFonts w:ascii="Times New Roman" w:hAnsi="Times New Roman" w:cs="Times New Roman"/>
                <w:color w:val="000000" w:themeColor="text1"/>
              </w:rPr>
              <w:t>Proj</w:t>
            </w:r>
            <w:proofErr w:type="spellEnd"/>
            <w:r w:rsidRPr="004B194E">
              <w:rPr>
                <w:rFonts w:ascii="Times New Roman" w:hAnsi="Times New Roman" w:cs="Times New Roman"/>
                <w:color w:val="000000" w:themeColor="text1"/>
              </w:rPr>
              <w:t>.)</w:t>
            </w:r>
          </w:p>
        </w:tc>
        <w:tc>
          <w:tcPr>
            <w:tcW w:w="2880" w:type="dxa"/>
          </w:tcPr>
          <w:p w14:paraId="1B823947"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-5.0%</w:t>
            </w:r>
          </w:p>
        </w:tc>
        <w:tc>
          <w:tcPr>
            <w:tcW w:w="2880" w:type="dxa"/>
          </w:tcPr>
          <w:p w14:paraId="6DDC11E3"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Stable at sustainable level</w:t>
            </w:r>
          </w:p>
        </w:tc>
      </w:tr>
      <w:tr w:rsidR="004B194E" w:rsidRPr="004B194E" w14:paraId="403DE712"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C525EC"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2026 (</w:t>
            </w:r>
            <w:proofErr w:type="spellStart"/>
            <w:r w:rsidRPr="004B194E">
              <w:rPr>
                <w:rFonts w:ascii="Times New Roman" w:hAnsi="Times New Roman" w:cs="Times New Roman"/>
                <w:color w:val="000000" w:themeColor="text1"/>
              </w:rPr>
              <w:t>Proj</w:t>
            </w:r>
            <w:proofErr w:type="spellEnd"/>
            <w:r w:rsidRPr="004B194E">
              <w:rPr>
                <w:rFonts w:ascii="Times New Roman" w:hAnsi="Times New Roman" w:cs="Times New Roman"/>
                <w:color w:val="000000" w:themeColor="text1"/>
              </w:rPr>
              <w:t>.)</w:t>
            </w:r>
          </w:p>
        </w:tc>
        <w:tc>
          <w:tcPr>
            <w:tcW w:w="2880" w:type="dxa"/>
          </w:tcPr>
          <w:p w14:paraId="354CC007"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-4.8%</w:t>
            </w:r>
          </w:p>
        </w:tc>
        <w:tc>
          <w:tcPr>
            <w:tcW w:w="2880" w:type="dxa"/>
          </w:tcPr>
          <w:p w14:paraId="5C6F9898"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Marginal improvement continuing</w:t>
            </w:r>
          </w:p>
        </w:tc>
      </w:tr>
    </w:tbl>
    <w:p w14:paraId="21D66DF0" w14:textId="77777777" w:rsidR="008E5991" w:rsidRPr="004B194E" w:rsidRDefault="008E5991" w:rsidP="0000333D">
      <w:pPr>
        <w:jc w:val="both"/>
        <w:rPr>
          <w:rFonts w:ascii="Times New Roman" w:hAnsi="Times New Roman" w:cs="Times New Roman"/>
          <w:color w:val="000000" w:themeColor="text1"/>
        </w:rPr>
      </w:pPr>
    </w:p>
    <w:p w14:paraId="3A446635"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The current account deficit narrowed significantly by 2.6 percentage points to approximately 5.0% of GDP in 2024, reversing the 2023 widening. This improvement was driven by multiple factors:</w:t>
      </w:r>
    </w:p>
    <w:p w14:paraId="6D11C6CF"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1. </w:t>
      </w:r>
      <w:r w:rsidRPr="004B194E">
        <w:rPr>
          <w:rFonts w:ascii="Times New Roman" w:hAnsi="Times New Roman" w:cs="Times New Roman"/>
          <w:b/>
          <w:color w:val="000000" w:themeColor="text1"/>
        </w:rPr>
        <w:t>Strong Remittances:</w:t>
      </w:r>
      <w:r w:rsidRPr="004B194E">
        <w:rPr>
          <w:rFonts w:ascii="Times New Roman" w:hAnsi="Times New Roman" w:cs="Times New Roman"/>
          <w:color w:val="000000" w:themeColor="text1"/>
        </w:rPr>
        <w:t xml:space="preserve"> Growing migrant wages in Russia and increasing migration to advanced economies supported robust remittance inflows</w:t>
      </w:r>
    </w:p>
    <w:p w14:paraId="5E04DEF2"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2. </w:t>
      </w:r>
      <w:r w:rsidRPr="004B194E">
        <w:rPr>
          <w:rFonts w:ascii="Times New Roman" w:hAnsi="Times New Roman" w:cs="Times New Roman"/>
          <w:b/>
          <w:color w:val="000000" w:themeColor="text1"/>
        </w:rPr>
        <w:t>Non-Gold Export Growth:</w:t>
      </w:r>
      <w:r w:rsidRPr="004B194E">
        <w:rPr>
          <w:rFonts w:ascii="Times New Roman" w:hAnsi="Times New Roman" w:cs="Times New Roman"/>
          <w:color w:val="000000" w:themeColor="text1"/>
        </w:rPr>
        <w:t xml:space="preserve"> Rapidly growing non-gold exports reflecting economic diversification (textiles, pharmaceuticals, automotive parts, chemicals, processed foods)</w:t>
      </w:r>
    </w:p>
    <w:p w14:paraId="7BE9CB8B"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3. </w:t>
      </w:r>
      <w:r w:rsidRPr="004B194E">
        <w:rPr>
          <w:rFonts w:ascii="Times New Roman" w:hAnsi="Times New Roman" w:cs="Times New Roman"/>
          <w:b/>
          <w:color w:val="000000" w:themeColor="text1"/>
        </w:rPr>
        <w:t>Favorable Commodity Prices:</w:t>
      </w:r>
      <w:r w:rsidRPr="004B194E">
        <w:rPr>
          <w:rFonts w:ascii="Times New Roman" w:hAnsi="Times New Roman" w:cs="Times New Roman"/>
          <w:color w:val="000000" w:themeColor="text1"/>
        </w:rPr>
        <w:t xml:space="preserve"> Supportive prices for key exports (gold, cotton, natural gas, copper)</w:t>
      </w:r>
    </w:p>
    <w:p w14:paraId="53328756"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4. </w:t>
      </w:r>
      <w:r w:rsidRPr="004B194E">
        <w:rPr>
          <w:rFonts w:ascii="Times New Roman" w:hAnsi="Times New Roman" w:cs="Times New Roman"/>
          <w:b/>
          <w:color w:val="000000" w:themeColor="text1"/>
        </w:rPr>
        <w:t>Import Normalization:</w:t>
      </w:r>
      <w:r w:rsidRPr="004B194E">
        <w:rPr>
          <w:rFonts w:ascii="Times New Roman" w:hAnsi="Times New Roman" w:cs="Times New Roman"/>
          <w:color w:val="000000" w:themeColor="text1"/>
        </w:rPr>
        <w:t xml:space="preserve"> Unwinding of the one-off import spike that occurred in 2023</w:t>
      </w:r>
    </w:p>
    <w:p w14:paraId="547EC130"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The external current account deficit is foreseen to stay at or slightly below 5% of GDP over 2025-2026, representing a sustainable level given the economy's investment needs and growth dynamics.</w:t>
      </w:r>
    </w:p>
    <w:p w14:paraId="1DC62B33"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4.2 Trade Performance and Integration</w:t>
      </w:r>
    </w:p>
    <w:p w14:paraId="5674186C"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Trade-to-GDP Ratio:</w:t>
      </w:r>
      <w:r w:rsidRPr="004B194E">
        <w:rPr>
          <w:rFonts w:ascii="Times New Roman" w:hAnsi="Times New Roman" w:cs="Times New Roman"/>
          <w:color w:val="000000" w:themeColor="text1"/>
        </w:rPr>
        <w:t xml:space="preserve"> Reached approximately 61% in 2024, up from doubling since 2017, reflecting growing integration into global and regional value chains.</w:t>
      </w:r>
    </w:p>
    <w:p w14:paraId="3ED9B95B"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Export Composition:</w:t>
      </w:r>
    </w:p>
    <w:p w14:paraId="41A8B4E5"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Commodities: Gold (largest export), cotton fiber and yarn, natural gas, copper</w:t>
      </w:r>
    </w:p>
    <w:p w14:paraId="0030910F"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Manufacturing: Textiles and garments, processed foods, chemicals, automotive parts, pharmaceuticals</w:t>
      </w:r>
    </w:p>
    <w:p w14:paraId="62399416"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Services: Tourism (growing), transport services, business services</w:t>
      </w:r>
    </w:p>
    <w:p w14:paraId="55F2ED34"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lastRenderedPageBreak/>
        <w:t>Trade Partners:</w:t>
      </w:r>
    </w:p>
    <w:p w14:paraId="6382CA9E"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Major partners include Russia, China, Kazakhstan, Turkey, European Union</w:t>
      </w:r>
    </w:p>
    <w:p w14:paraId="2BA3EA5D"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Regional integration improving with Central Asian neighbors</w:t>
      </w:r>
    </w:p>
    <w:p w14:paraId="4A62B8E4"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WTO accession process underway to deepen global trade integration</w:t>
      </w:r>
    </w:p>
    <w:p w14:paraId="485BEB21"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4.3 International Reserves</w:t>
      </w:r>
    </w:p>
    <w:p w14:paraId="095824D6"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International reserves have remained ample throughout the reform period, providing a strong buffer against external shocks. While specific reserve levels are not detailed in the available data, reserves are projected to remain adequate at </w:t>
      </w:r>
      <w:r w:rsidRPr="004B194E">
        <w:rPr>
          <w:rFonts w:ascii="Times New Roman" w:hAnsi="Times New Roman" w:cs="Times New Roman"/>
          <w:b/>
          <w:color w:val="000000" w:themeColor="text1"/>
        </w:rPr>
        <w:t>9.2 months of imports by end-2026</w:t>
      </w:r>
      <w:r w:rsidRPr="004B194E">
        <w:rPr>
          <w:rFonts w:ascii="Times New Roman" w:hAnsi="Times New Roman" w:cs="Times New Roman"/>
          <w:color w:val="000000" w:themeColor="text1"/>
        </w:rPr>
        <w:t>, well above standard adequacy thresholds.</w:t>
      </w:r>
    </w:p>
    <w:p w14:paraId="1589E309"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Table 8: Reserve Adequacy Metrics</w:t>
      </w:r>
    </w:p>
    <w:tbl>
      <w:tblPr>
        <w:tblStyle w:val="LightGrid-Accent1"/>
        <w:tblW w:w="0" w:type="auto"/>
        <w:tblLook w:val="04A0" w:firstRow="1" w:lastRow="0" w:firstColumn="1" w:lastColumn="0" w:noHBand="0" w:noVBand="1"/>
      </w:tblPr>
      <w:tblGrid>
        <w:gridCol w:w="2880"/>
        <w:gridCol w:w="2880"/>
        <w:gridCol w:w="2880"/>
      </w:tblGrid>
      <w:tr w:rsidR="004B194E" w:rsidRPr="004B194E" w14:paraId="139262C2" w14:textId="77777777" w:rsidTr="008E5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D79A12"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Metric</w:t>
            </w:r>
          </w:p>
        </w:tc>
        <w:tc>
          <w:tcPr>
            <w:tcW w:w="2880" w:type="dxa"/>
          </w:tcPr>
          <w:p w14:paraId="1B3EA186"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Status</w:t>
            </w:r>
          </w:p>
        </w:tc>
        <w:tc>
          <w:tcPr>
            <w:tcW w:w="2880" w:type="dxa"/>
          </w:tcPr>
          <w:p w14:paraId="4CC74441"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Assessment</w:t>
            </w:r>
          </w:p>
        </w:tc>
      </w:tr>
      <w:tr w:rsidR="004B194E" w:rsidRPr="004B194E" w14:paraId="0D053829"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E36A97"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Import Coverage</w:t>
            </w:r>
          </w:p>
        </w:tc>
        <w:tc>
          <w:tcPr>
            <w:tcW w:w="2880" w:type="dxa"/>
          </w:tcPr>
          <w:p w14:paraId="3C7D12F3"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9.2 months (2026 proj.)</w:t>
            </w:r>
          </w:p>
        </w:tc>
        <w:tc>
          <w:tcPr>
            <w:tcW w:w="2880" w:type="dxa"/>
          </w:tcPr>
          <w:p w14:paraId="254CC3EE"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Well above 3-month minimum threshold</w:t>
            </w:r>
          </w:p>
        </w:tc>
      </w:tr>
      <w:tr w:rsidR="004B194E" w:rsidRPr="004B194E" w14:paraId="0CE54381"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48474D"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ARA Framework</w:t>
            </w:r>
          </w:p>
        </w:tc>
        <w:tc>
          <w:tcPr>
            <w:tcW w:w="2880" w:type="dxa"/>
          </w:tcPr>
          <w:p w14:paraId="1BE4169D"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Characterized as ample</w:t>
            </w:r>
          </w:p>
        </w:tc>
        <w:tc>
          <w:tcPr>
            <w:tcW w:w="2880" w:type="dxa"/>
          </w:tcPr>
          <w:p w14:paraId="18443D02"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Meets adequacy benchmarks</w:t>
            </w:r>
          </w:p>
        </w:tc>
      </w:tr>
      <w:tr w:rsidR="004B194E" w:rsidRPr="004B194E" w14:paraId="120628AC"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5B742B"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Trend</w:t>
            </w:r>
          </w:p>
        </w:tc>
        <w:tc>
          <w:tcPr>
            <w:tcW w:w="2880" w:type="dxa"/>
          </w:tcPr>
          <w:p w14:paraId="19847A54"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Stable and adequate</w:t>
            </w:r>
          </w:p>
        </w:tc>
        <w:tc>
          <w:tcPr>
            <w:tcW w:w="2880" w:type="dxa"/>
          </w:tcPr>
          <w:p w14:paraId="0A55A0CA"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Supportive of exchange rate flexibility</w:t>
            </w:r>
          </w:p>
        </w:tc>
      </w:tr>
    </w:tbl>
    <w:p w14:paraId="1153064F" w14:textId="77777777" w:rsidR="008E5991" w:rsidRPr="004B194E" w:rsidRDefault="008E5991" w:rsidP="0000333D">
      <w:pPr>
        <w:jc w:val="both"/>
        <w:rPr>
          <w:rFonts w:ascii="Times New Roman" w:hAnsi="Times New Roman" w:cs="Times New Roman"/>
          <w:color w:val="000000" w:themeColor="text1"/>
        </w:rPr>
      </w:pPr>
    </w:p>
    <w:p w14:paraId="3925C48A"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The ample reserve position supports the flexible exchange rate regime, provides confidence to investors, and enables the CBU to smooth excessive exchange rate volatility if needed while maintaining the floating exchange rate system.</w:t>
      </w:r>
    </w:p>
    <w:p w14:paraId="78F1B2AD"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4.4 Exchange Rate Regime and Performance</w:t>
      </w:r>
    </w:p>
    <w:p w14:paraId="6B60A12A"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Table 9: Exchange Rate Developments</w:t>
      </w:r>
    </w:p>
    <w:tbl>
      <w:tblPr>
        <w:tblStyle w:val="LightGrid-Accent1"/>
        <w:tblW w:w="0" w:type="auto"/>
        <w:tblLook w:val="04A0" w:firstRow="1" w:lastRow="0" w:firstColumn="1" w:lastColumn="0" w:noHBand="0" w:noVBand="1"/>
      </w:tblPr>
      <w:tblGrid>
        <w:gridCol w:w="1728"/>
        <w:gridCol w:w="1728"/>
        <w:gridCol w:w="1728"/>
        <w:gridCol w:w="1728"/>
        <w:gridCol w:w="1728"/>
      </w:tblGrid>
      <w:tr w:rsidR="004B194E" w:rsidRPr="004B194E" w14:paraId="7B685AC0" w14:textId="77777777" w:rsidTr="008E5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513AE15"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Indicator</w:t>
            </w:r>
          </w:p>
        </w:tc>
        <w:tc>
          <w:tcPr>
            <w:tcW w:w="1728" w:type="dxa"/>
          </w:tcPr>
          <w:p w14:paraId="0F0A5624"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2022</w:t>
            </w:r>
          </w:p>
        </w:tc>
        <w:tc>
          <w:tcPr>
            <w:tcW w:w="1728" w:type="dxa"/>
          </w:tcPr>
          <w:p w14:paraId="1A9755F5"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2023</w:t>
            </w:r>
          </w:p>
        </w:tc>
        <w:tc>
          <w:tcPr>
            <w:tcW w:w="1728" w:type="dxa"/>
          </w:tcPr>
          <w:p w14:paraId="3AC9584B"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2024</w:t>
            </w:r>
          </w:p>
        </w:tc>
        <w:tc>
          <w:tcPr>
            <w:tcW w:w="1728" w:type="dxa"/>
          </w:tcPr>
          <w:p w14:paraId="594D093D"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Trend</w:t>
            </w:r>
          </w:p>
        </w:tc>
      </w:tr>
      <w:tr w:rsidR="004B194E" w:rsidRPr="004B194E" w14:paraId="3110C2C9"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D6E5FAC"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**Nominal Rate (UZS per USD, end-</w:t>
            </w:r>
            <w:proofErr w:type="gramStart"/>
            <w:r w:rsidRPr="004B194E">
              <w:rPr>
                <w:rFonts w:ascii="Times New Roman" w:hAnsi="Times New Roman" w:cs="Times New Roman"/>
                <w:color w:val="000000" w:themeColor="text1"/>
              </w:rPr>
              <w:t>period)*</w:t>
            </w:r>
            <w:proofErr w:type="gramEnd"/>
            <w:r w:rsidRPr="004B194E">
              <w:rPr>
                <w:rFonts w:ascii="Times New Roman" w:hAnsi="Times New Roman" w:cs="Times New Roman"/>
                <w:color w:val="000000" w:themeColor="text1"/>
              </w:rPr>
              <w:t>*</w:t>
            </w:r>
          </w:p>
        </w:tc>
        <w:tc>
          <w:tcPr>
            <w:tcW w:w="1728" w:type="dxa"/>
          </w:tcPr>
          <w:p w14:paraId="3E59474A"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11,225</w:t>
            </w:r>
          </w:p>
        </w:tc>
        <w:tc>
          <w:tcPr>
            <w:tcW w:w="1728" w:type="dxa"/>
          </w:tcPr>
          <w:p w14:paraId="0210BAD4"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12,339</w:t>
            </w:r>
          </w:p>
        </w:tc>
        <w:tc>
          <w:tcPr>
            <w:tcW w:w="1728" w:type="dxa"/>
          </w:tcPr>
          <w:p w14:paraId="56DBFB6E"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12,920</w:t>
            </w:r>
          </w:p>
        </w:tc>
        <w:tc>
          <w:tcPr>
            <w:tcW w:w="1728" w:type="dxa"/>
          </w:tcPr>
          <w:p w14:paraId="50498F71"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Gradual depreciation</w:t>
            </w:r>
          </w:p>
        </w:tc>
      </w:tr>
      <w:tr w:rsidR="004B194E" w:rsidRPr="004B194E" w14:paraId="099A69D1"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B0D5F9A"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**Real Effective Exchange Rate (2015=</w:t>
            </w:r>
            <w:proofErr w:type="gramStart"/>
            <w:r w:rsidRPr="004B194E">
              <w:rPr>
                <w:rFonts w:ascii="Times New Roman" w:hAnsi="Times New Roman" w:cs="Times New Roman"/>
                <w:color w:val="000000" w:themeColor="text1"/>
              </w:rPr>
              <w:t>100)*</w:t>
            </w:r>
            <w:proofErr w:type="gramEnd"/>
            <w:r w:rsidRPr="004B194E">
              <w:rPr>
                <w:rFonts w:ascii="Times New Roman" w:hAnsi="Times New Roman" w:cs="Times New Roman"/>
                <w:color w:val="000000" w:themeColor="text1"/>
              </w:rPr>
              <w:t>*</w:t>
            </w:r>
          </w:p>
        </w:tc>
        <w:tc>
          <w:tcPr>
            <w:tcW w:w="1728" w:type="dxa"/>
          </w:tcPr>
          <w:p w14:paraId="7B1974D4"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61.8</w:t>
            </w:r>
          </w:p>
        </w:tc>
        <w:tc>
          <w:tcPr>
            <w:tcW w:w="1728" w:type="dxa"/>
          </w:tcPr>
          <w:p w14:paraId="1AA3D9C9"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58.8</w:t>
            </w:r>
          </w:p>
        </w:tc>
        <w:tc>
          <w:tcPr>
            <w:tcW w:w="1728" w:type="dxa"/>
          </w:tcPr>
          <w:p w14:paraId="1AE6B5BC"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55.4</w:t>
            </w:r>
          </w:p>
        </w:tc>
        <w:tc>
          <w:tcPr>
            <w:tcW w:w="1728" w:type="dxa"/>
          </w:tcPr>
          <w:p w14:paraId="1FD6AC3D"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Real depreciation</w:t>
            </w:r>
          </w:p>
        </w:tc>
      </w:tr>
      <w:tr w:rsidR="004B194E" w:rsidRPr="004B194E" w14:paraId="2789B0C1"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3DA3F9C"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**Regime**</w:t>
            </w:r>
          </w:p>
        </w:tc>
        <w:tc>
          <w:tcPr>
            <w:tcW w:w="1728" w:type="dxa"/>
          </w:tcPr>
          <w:p w14:paraId="66C6FE7D"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De facto floating</w:t>
            </w:r>
          </w:p>
        </w:tc>
        <w:tc>
          <w:tcPr>
            <w:tcW w:w="1728" w:type="dxa"/>
          </w:tcPr>
          <w:p w14:paraId="7B1DF1CD"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De facto floating</w:t>
            </w:r>
          </w:p>
        </w:tc>
        <w:tc>
          <w:tcPr>
            <w:tcW w:w="1728" w:type="dxa"/>
          </w:tcPr>
          <w:p w14:paraId="46D230FF"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De facto floating</w:t>
            </w:r>
          </w:p>
        </w:tc>
        <w:tc>
          <w:tcPr>
            <w:tcW w:w="1728" w:type="dxa"/>
          </w:tcPr>
          <w:p w14:paraId="08AE734B"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Maintained flexibility</w:t>
            </w:r>
          </w:p>
        </w:tc>
      </w:tr>
    </w:tbl>
    <w:p w14:paraId="684EB1E7" w14:textId="77777777" w:rsidR="008E5991" w:rsidRPr="004B194E" w:rsidRDefault="008E5991" w:rsidP="0000333D">
      <w:pPr>
        <w:jc w:val="both"/>
        <w:rPr>
          <w:rFonts w:ascii="Times New Roman" w:hAnsi="Times New Roman" w:cs="Times New Roman"/>
          <w:color w:val="000000" w:themeColor="text1"/>
        </w:rPr>
      </w:pPr>
    </w:p>
    <w:p w14:paraId="2E0BEA4C"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Uzbekistan operates a </w:t>
      </w:r>
      <w:r w:rsidRPr="004B194E">
        <w:rPr>
          <w:rFonts w:ascii="Times New Roman" w:hAnsi="Times New Roman" w:cs="Times New Roman"/>
          <w:b/>
          <w:color w:val="000000" w:themeColor="text1"/>
        </w:rPr>
        <w:t>de facto floating exchange rate regime</w:t>
      </w:r>
      <w:r w:rsidRPr="004B194E">
        <w:rPr>
          <w:rFonts w:ascii="Times New Roman" w:hAnsi="Times New Roman" w:cs="Times New Roman"/>
          <w:color w:val="000000" w:themeColor="text1"/>
        </w:rPr>
        <w:t xml:space="preserve"> since the historic 2017 currency liberalization. The nominal exchange rate has depreciated gradually against the USD, from 11,225 (2022) to 12,920 (2024), representing approximately 15% cumulative depreciation over the period.</w:t>
      </w:r>
    </w:p>
    <w:p w14:paraId="1A28375C"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lastRenderedPageBreak/>
        <w:t>The real effective exchange rate has also depreciated, falling from 61.8 (2022) to 55.4 (2024) on a 2015=100 basis. This real depreciation supports export competitiveness and external balance adjustment.</w:t>
      </w:r>
    </w:p>
    <w:p w14:paraId="13E07E6B"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Policy Recommendations:</w:t>
      </w:r>
      <w:r w:rsidRPr="004B194E">
        <w:rPr>
          <w:rFonts w:ascii="Times New Roman" w:hAnsi="Times New Roman" w:cs="Times New Roman"/>
          <w:color w:val="000000" w:themeColor="text1"/>
        </w:rPr>
        <w:t xml:space="preserve"> Authorities are encouraged to adopt even greater exchange rate flexibility to enhance monetary policy effectiveness and facilitate external adjustment.</w:t>
      </w:r>
    </w:p>
    <w:p w14:paraId="265E98FA"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4.5 FX Convertibility and Capital Account Openness</w:t>
      </w:r>
    </w:p>
    <w:p w14:paraId="161F7AF3"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The 2017 currency liberalization represents one of Uzbekistan's most significant reform achievements. The reform package included:</w:t>
      </w:r>
    </w:p>
    <w:p w14:paraId="50BC84BB"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1. </w:t>
      </w:r>
      <w:r w:rsidRPr="004B194E">
        <w:rPr>
          <w:rFonts w:ascii="Times New Roman" w:hAnsi="Times New Roman" w:cs="Times New Roman"/>
          <w:b/>
          <w:color w:val="000000" w:themeColor="text1"/>
        </w:rPr>
        <w:t>Exchange Rate Unification:</w:t>
      </w:r>
      <w:r w:rsidRPr="004B194E">
        <w:rPr>
          <w:rFonts w:ascii="Times New Roman" w:hAnsi="Times New Roman" w:cs="Times New Roman"/>
          <w:color w:val="000000" w:themeColor="text1"/>
        </w:rPr>
        <w:t xml:space="preserve"> Devaluation of approximately 48% overnight, ending the dual exchange-rate regime</w:t>
      </w:r>
    </w:p>
    <w:p w14:paraId="6B3CEC92"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2. </w:t>
      </w:r>
      <w:r w:rsidRPr="004B194E">
        <w:rPr>
          <w:rFonts w:ascii="Times New Roman" w:hAnsi="Times New Roman" w:cs="Times New Roman"/>
          <w:b/>
          <w:color w:val="000000" w:themeColor="text1"/>
        </w:rPr>
        <w:t>Full Convertibility:</w:t>
      </w:r>
      <w:r w:rsidRPr="004B194E">
        <w:rPr>
          <w:rFonts w:ascii="Times New Roman" w:hAnsi="Times New Roman" w:cs="Times New Roman"/>
          <w:color w:val="000000" w:themeColor="text1"/>
        </w:rPr>
        <w:t xml:space="preserve"> Free conversion and repatriation of foreign currency for businesses and investors</w:t>
      </w:r>
    </w:p>
    <w:p w14:paraId="1B4C99CC"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3. </w:t>
      </w:r>
      <w:r w:rsidRPr="004B194E">
        <w:rPr>
          <w:rFonts w:ascii="Times New Roman" w:hAnsi="Times New Roman" w:cs="Times New Roman"/>
          <w:b/>
          <w:color w:val="000000" w:themeColor="text1"/>
        </w:rPr>
        <w:t>Elimination of Export Surrender Requirements:</w:t>
      </w:r>
      <w:r w:rsidRPr="004B194E">
        <w:rPr>
          <w:rFonts w:ascii="Times New Roman" w:hAnsi="Times New Roman" w:cs="Times New Roman"/>
          <w:color w:val="000000" w:themeColor="text1"/>
        </w:rPr>
        <w:t xml:space="preserve"> Ending mandatory surrender of export proceeds</w:t>
      </w:r>
    </w:p>
    <w:p w14:paraId="64B4EB38"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4. </w:t>
      </w:r>
      <w:r w:rsidRPr="004B194E">
        <w:rPr>
          <w:rFonts w:ascii="Times New Roman" w:hAnsi="Times New Roman" w:cs="Times New Roman"/>
          <w:b/>
          <w:color w:val="000000" w:themeColor="text1"/>
        </w:rPr>
        <w:t>No Capital Controls:</w:t>
      </w:r>
      <w:r w:rsidRPr="004B194E">
        <w:rPr>
          <w:rFonts w:ascii="Times New Roman" w:hAnsi="Times New Roman" w:cs="Times New Roman"/>
          <w:color w:val="000000" w:themeColor="text1"/>
        </w:rPr>
        <w:t xml:space="preserve"> Free movement of capital for investment purposes</w:t>
      </w:r>
    </w:p>
    <w:p w14:paraId="0BB0A175"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Current Status:</w:t>
      </w:r>
      <w:r w:rsidRPr="004B194E">
        <w:rPr>
          <w:rFonts w:ascii="Times New Roman" w:hAnsi="Times New Roman" w:cs="Times New Roman"/>
          <w:color w:val="000000" w:themeColor="text1"/>
        </w:rPr>
        <w:t xml:space="preserve"> Very low convertibility risk. The economy is fully liberalized for currency transactions with no capital controls. However, FX volatility risk remains moderate given the continued depreciation trend and limited availability of local currency hedging instruments for very large transactions.</w:t>
      </w:r>
    </w:p>
    <w:p w14:paraId="122EBE61" w14:textId="77777777" w:rsidR="008E5991" w:rsidRPr="004B194E" w:rsidRDefault="008E5991" w:rsidP="0000333D">
      <w:pPr>
        <w:spacing w:before="120" w:after="120"/>
        <w:jc w:val="both"/>
        <w:rPr>
          <w:rFonts w:ascii="Times New Roman" w:hAnsi="Times New Roman" w:cs="Times New Roman"/>
          <w:color w:val="000000" w:themeColor="text1"/>
        </w:rPr>
      </w:pPr>
    </w:p>
    <w:p w14:paraId="0080483F" w14:textId="77777777" w:rsidR="00E20A23" w:rsidRDefault="00E20A23" w:rsidP="0000333D">
      <w:pPr>
        <w:pStyle w:val="Heading1"/>
        <w:jc w:val="both"/>
        <w:sectPr w:rsidR="00E20A23" w:rsidSect="00034616">
          <w:pgSz w:w="12240" w:h="15840"/>
          <w:pgMar w:top="1440" w:right="1800" w:bottom="1440" w:left="1800" w:header="720" w:footer="720" w:gutter="0"/>
          <w:cols w:space="720"/>
          <w:docGrid w:linePitch="360"/>
        </w:sectPr>
      </w:pPr>
    </w:p>
    <w:p w14:paraId="264A3D8C" w14:textId="77777777" w:rsidR="008E5991" w:rsidRPr="004B194E" w:rsidRDefault="00000000" w:rsidP="0000333D">
      <w:pPr>
        <w:pStyle w:val="Heading1"/>
        <w:jc w:val="both"/>
      </w:pPr>
      <w:r w:rsidRPr="004B194E">
        <w:lastRenderedPageBreak/>
        <w:t>5. MONETARY AND FINANCIAL SECTOR</w:t>
      </w:r>
    </w:p>
    <w:p w14:paraId="0927E114"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5.1 Monetary Policy Implementation</w:t>
      </w:r>
    </w:p>
    <w:p w14:paraId="59F27F1A"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The Central Bank of Uzbekistan (CBU) maintains a data-driven monetary policy approach focused on achieving the 5% inflation target by end-2027. The policy stance remains appropriately tight given current inflation levels of approximately 10%, but further tightening may be necessary if core inflation or inflation expectations do not decline as projected.</w:t>
      </w:r>
    </w:p>
    <w:p w14:paraId="4702E32F"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Table 10: Monetary Aggregates Growth</w:t>
      </w:r>
    </w:p>
    <w:tbl>
      <w:tblPr>
        <w:tblStyle w:val="LightGrid-Accent1"/>
        <w:tblW w:w="0" w:type="auto"/>
        <w:tblLook w:val="04A0" w:firstRow="1" w:lastRow="0" w:firstColumn="1" w:lastColumn="0" w:noHBand="0" w:noVBand="1"/>
      </w:tblPr>
      <w:tblGrid>
        <w:gridCol w:w="1440"/>
        <w:gridCol w:w="1440"/>
        <w:gridCol w:w="1440"/>
        <w:gridCol w:w="1440"/>
        <w:gridCol w:w="1440"/>
        <w:gridCol w:w="1440"/>
      </w:tblGrid>
      <w:tr w:rsidR="004B194E" w:rsidRPr="004B194E" w14:paraId="6B3D5F8B" w14:textId="77777777" w:rsidTr="008E5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4D25AA3"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Indicator</w:t>
            </w:r>
          </w:p>
        </w:tc>
        <w:tc>
          <w:tcPr>
            <w:tcW w:w="1440" w:type="dxa"/>
          </w:tcPr>
          <w:p w14:paraId="24EC13E1"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2022</w:t>
            </w:r>
          </w:p>
        </w:tc>
        <w:tc>
          <w:tcPr>
            <w:tcW w:w="1440" w:type="dxa"/>
          </w:tcPr>
          <w:p w14:paraId="0FC37176"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2023</w:t>
            </w:r>
          </w:p>
        </w:tc>
        <w:tc>
          <w:tcPr>
            <w:tcW w:w="1440" w:type="dxa"/>
          </w:tcPr>
          <w:p w14:paraId="57E483B9"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2024</w:t>
            </w:r>
          </w:p>
        </w:tc>
        <w:tc>
          <w:tcPr>
            <w:tcW w:w="1440" w:type="dxa"/>
          </w:tcPr>
          <w:p w14:paraId="749E3176"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2025 (Proj.)</w:t>
            </w:r>
          </w:p>
        </w:tc>
        <w:tc>
          <w:tcPr>
            <w:tcW w:w="1440" w:type="dxa"/>
          </w:tcPr>
          <w:p w14:paraId="73DC733A"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2026 (Proj.)</w:t>
            </w:r>
          </w:p>
        </w:tc>
      </w:tr>
      <w:tr w:rsidR="004B194E" w:rsidRPr="004B194E" w14:paraId="785EBF95"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2C8751DB"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**Credit to Economy**</w:t>
            </w:r>
          </w:p>
        </w:tc>
        <w:tc>
          <w:tcPr>
            <w:tcW w:w="1440" w:type="dxa"/>
          </w:tcPr>
          <w:p w14:paraId="5E5C09DC"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21.4%</w:t>
            </w:r>
          </w:p>
        </w:tc>
        <w:tc>
          <w:tcPr>
            <w:tcW w:w="1440" w:type="dxa"/>
          </w:tcPr>
          <w:p w14:paraId="0BF32BD2"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23.2%</w:t>
            </w:r>
          </w:p>
        </w:tc>
        <w:tc>
          <w:tcPr>
            <w:tcW w:w="1440" w:type="dxa"/>
          </w:tcPr>
          <w:p w14:paraId="0AE4C42D"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4.0%</w:t>
            </w:r>
          </w:p>
        </w:tc>
        <w:tc>
          <w:tcPr>
            <w:tcW w:w="1440" w:type="dxa"/>
          </w:tcPr>
          <w:p w14:paraId="05469E42"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19.3%</w:t>
            </w:r>
          </w:p>
        </w:tc>
        <w:tc>
          <w:tcPr>
            <w:tcW w:w="1440" w:type="dxa"/>
          </w:tcPr>
          <w:p w14:paraId="01320E64"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16.0%</w:t>
            </w:r>
          </w:p>
        </w:tc>
      </w:tr>
      <w:tr w:rsidR="004B194E" w:rsidRPr="004B194E" w14:paraId="5D966B2F"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5E8AC3E"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**Broad Money**</w:t>
            </w:r>
          </w:p>
        </w:tc>
        <w:tc>
          <w:tcPr>
            <w:tcW w:w="1440" w:type="dxa"/>
          </w:tcPr>
          <w:p w14:paraId="2A24A84E"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30.2%</w:t>
            </w:r>
          </w:p>
        </w:tc>
        <w:tc>
          <w:tcPr>
            <w:tcW w:w="1440" w:type="dxa"/>
          </w:tcPr>
          <w:p w14:paraId="5B5993BF"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12.2%</w:t>
            </w:r>
          </w:p>
        </w:tc>
        <w:tc>
          <w:tcPr>
            <w:tcW w:w="1440" w:type="dxa"/>
          </w:tcPr>
          <w:p w14:paraId="1685F74E"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30.6%</w:t>
            </w:r>
          </w:p>
        </w:tc>
        <w:tc>
          <w:tcPr>
            <w:tcW w:w="1440" w:type="dxa"/>
          </w:tcPr>
          <w:p w14:paraId="2C6D3AE9"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19.4%</w:t>
            </w:r>
          </w:p>
        </w:tc>
        <w:tc>
          <w:tcPr>
            <w:tcW w:w="1440" w:type="dxa"/>
          </w:tcPr>
          <w:p w14:paraId="7579D2BC"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16.3%</w:t>
            </w:r>
          </w:p>
        </w:tc>
      </w:tr>
      <w:tr w:rsidR="004B194E" w:rsidRPr="004B194E" w14:paraId="5968E909"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E9AD1B3"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**Reserve Money**</w:t>
            </w:r>
          </w:p>
        </w:tc>
        <w:tc>
          <w:tcPr>
            <w:tcW w:w="1440" w:type="dxa"/>
          </w:tcPr>
          <w:p w14:paraId="446BA1E2"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31.4%</w:t>
            </w:r>
          </w:p>
        </w:tc>
        <w:tc>
          <w:tcPr>
            <w:tcW w:w="1440" w:type="dxa"/>
          </w:tcPr>
          <w:p w14:paraId="702E3DA1"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4.9%</w:t>
            </w:r>
          </w:p>
        </w:tc>
        <w:tc>
          <w:tcPr>
            <w:tcW w:w="1440" w:type="dxa"/>
          </w:tcPr>
          <w:p w14:paraId="38FF4439"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9.5%</w:t>
            </w:r>
          </w:p>
        </w:tc>
        <w:tc>
          <w:tcPr>
            <w:tcW w:w="1440" w:type="dxa"/>
          </w:tcPr>
          <w:p w14:paraId="33E90690"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9.2%</w:t>
            </w:r>
          </w:p>
        </w:tc>
        <w:tc>
          <w:tcPr>
            <w:tcW w:w="1440" w:type="dxa"/>
          </w:tcPr>
          <w:p w14:paraId="0DADA393"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8.8%</w:t>
            </w:r>
          </w:p>
        </w:tc>
      </w:tr>
    </w:tbl>
    <w:p w14:paraId="28C0E5AC" w14:textId="77777777" w:rsidR="008E5991" w:rsidRPr="004B194E" w:rsidRDefault="008E5991" w:rsidP="0000333D">
      <w:pPr>
        <w:jc w:val="both"/>
        <w:rPr>
          <w:rFonts w:ascii="Times New Roman" w:hAnsi="Times New Roman" w:cs="Times New Roman"/>
          <w:color w:val="000000" w:themeColor="text1"/>
        </w:rPr>
      </w:pPr>
    </w:p>
    <w:p w14:paraId="0B37C470"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Credit to the economy experienced rapid growth in 2022-2023 (21-23% annually) before a sharp slowdown to just 4.0% in 2024, likely reflecting the tightening of monetary conditions. Credit growth is projected to reaccelerate to 19.3% (2025) and 16.0% (2026) as monetary policy normalizes and financial deepening continues.</w:t>
      </w:r>
    </w:p>
    <w:p w14:paraId="7577C511"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Broad money growth has been volatile, ranging from 12.2% (2023) to 30.6% (2024), while reserve money growth has moderated to single digits, consistent with the CBU's inflation-fighting stance.</w:t>
      </w:r>
    </w:p>
    <w:p w14:paraId="0ED008DA"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5.2 Real Policy Rates</w:t>
      </w:r>
    </w:p>
    <w:p w14:paraId="5DF0476B"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With inflation at 9.8-10.6% and the CBU maintaining a tight monetary stance, real policy rates are positive but need careful monitoring to ensure they remain adequately restrictive to achieve the inflation target of 5% by end-2027. The effectiveness of monetary policy transmission mechanisms is gradually improving but remains an area requiring continued institutional development.</w:t>
      </w:r>
    </w:p>
    <w:p w14:paraId="65F0C4DC"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5.3 Banking Sector Structure and Performance</w:t>
      </w:r>
    </w:p>
    <w:p w14:paraId="60BD28D3"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Capitalization:</w:t>
      </w:r>
      <w:r w:rsidRPr="004B194E">
        <w:rPr>
          <w:rFonts w:ascii="Times New Roman" w:hAnsi="Times New Roman" w:cs="Times New Roman"/>
          <w:color w:val="000000" w:themeColor="text1"/>
        </w:rPr>
        <w:t xml:space="preserve"> The banking sector remains well-capitalized, though specific Capital Adequacy Ratio (CAR) metrics are not detailed in available excerpts. The sector is characterized as sound from a capital perspective.</w:t>
      </w:r>
    </w:p>
    <w:p w14:paraId="53D41EFC"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Profitability:</w:t>
      </w:r>
      <w:r w:rsidRPr="004B194E">
        <w:rPr>
          <w:rFonts w:ascii="Times New Roman" w:hAnsi="Times New Roman" w:cs="Times New Roman"/>
          <w:color w:val="000000" w:themeColor="text1"/>
        </w:rPr>
        <w:t xml:space="preserve"> Banking sector profitability is sound, with positive Return on Equity (ROE), though specific metrics are not quantified in the available data.</w:t>
      </w:r>
    </w:p>
    <w:p w14:paraId="0BB59ED0"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Liquidity:</w:t>
      </w:r>
      <w:r w:rsidRPr="004B194E">
        <w:rPr>
          <w:rFonts w:ascii="Times New Roman" w:hAnsi="Times New Roman" w:cs="Times New Roman"/>
          <w:color w:val="000000" w:themeColor="text1"/>
        </w:rPr>
        <w:t xml:space="preserve"> Liquidity is characterized as adequate, with the banking sector maintaining sound liquidity coverage.</w:t>
      </w:r>
    </w:p>
    <w:p w14:paraId="519A4F4D"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lastRenderedPageBreak/>
        <w:t>Asset Quality:</w:t>
      </w:r>
      <w:r w:rsidRPr="004B194E">
        <w:rPr>
          <w:rFonts w:ascii="Times New Roman" w:hAnsi="Times New Roman" w:cs="Times New Roman"/>
          <w:color w:val="000000" w:themeColor="text1"/>
        </w:rPr>
        <w:t xml:space="preserve"> Asset classification and NPL reporting need strengthening per FSAP recommendations. While specific Non-Performing Loan (NPL) ratios are not quantified, the banking sector is characterized as sound overall. Authorities have been advised to strengthen NPL resolution frameworks and improve asset quality monitoring.</w:t>
      </w:r>
    </w:p>
    <w:p w14:paraId="27E13097"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5.4 Banking Sector Challenges and Reforms</w:t>
      </w:r>
    </w:p>
    <w:p w14:paraId="0511CEC0"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State Footprint:</w:t>
      </w:r>
      <w:r w:rsidRPr="004B194E">
        <w:rPr>
          <w:rFonts w:ascii="Times New Roman" w:hAnsi="Times New Roman" w:cs="Times New Roman"/>
          <w:color w:val="000000" w:themeColor="text1"/>
        </w:rPr>
        <w:t xml:space="preserve"> The economy continues to be dominated by large state-owned commercial banks (SOCBs), though gradual privatization is underway. The state bank dominance creates challenges:</w:t>
      </w:r>
    </w:p>
    <w:p w14:paraId="17355094"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Market distortions and limited competition</w:t>
      </w:r>
    </w:p>
    <w:p w14:paraId="7360F369"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Directed and preferential lending practices</w:t>
      </w:r>
    </w:p>
    <w:p w14:paraId="69670571"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Weak commercial orientation</w:t>
      </w:r>
    </w:p>
    <w:p w14:paraId="3048BB75"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Potential fiscal contingent liabilities</w:t>
      </w:r>
    </w:p>
    <w:p w14:paraId="714C578F"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Reform Priorities:</w:t>
      </w:r>
    </w:p>
    <w:p w14:paraId="18C803E9"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1. </w:t>
      </w:r>
      <w:r w:rsidRPr="004B194E">
        <w:rPr>
          <w:rFonts w:ascii="Times New Roman" w:hAnsi="Times New Roman" w:cs="Times New Roman"/>
          <w:b/>
          <w:color w:val="000000" w:themeColor="text1"/>
        </w:rPr>
        <w:t>Privatization:</w:t>
      </w:r>
      <w:r w:rsidRPr="004B194E">
        <w:rPr>
          <w:rFonts w:ascii="Times New Roman" w:hAnsi="Times New Roman" w:cs="Times New Roman"/>
          <w:color w:val="000000" w:themeColor="text1"/>
        </w:rPr>
        <w:t xml:space="preserve"> Expedite and expand privatization of state banks following international best practices</w:t>
      </w:r>
    </w:p>
    <w:p w14:paraId="4C4AB7F8"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2. </w:t>
      </w:r>
      <w:r w:rsidRPr="004B194E">
        <w:rPr>
          <w:rFonts w:ascii="Times New Roman" w:hAnsi="Times New Roman" w:cs="Times New Roman"/>
          <w:b/>
          <w:color w:val="000000" w:themeColor="text1"/>
        </w:rPr>
        <w:t>Commercial Orientation:</w:t>
      </w:r>
      <w:r w:rsidRPr="004B194E">
        <w:rPr>
          <w:rFonts w:ascii="Times New Roman" w:hAnsi="Times New Roman" w:cs="Times New Roman"/>
          <w:color w:val="000000" w:themeColor="text1"/>
        </w:rPr>
        <w:t xml:space="preserve"> Bolster commercial orientation and strengthen corporate governance</w:t>
      </w:r>
    </w:p>
    <w:p w14:paraId="69807304"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3. </w:t>
      </w:r>
      <w:r w:rsidRPr="004B194E">
        <w:rPr>
          <w:rFonts w:ascii="Times New Roman" w:hAnsi="Times New Roman" w:cs="Times New Roman"/>
          <w:b/>
          <w:color w:val="000000" w:themeColor="text1"/>
        </w:rPr>
        <w:t>Phase Out Directed Lending:</w:t>
      </w:r>
      <w:r w:rsidRPr="004B194E">
        <w:rPr>
          <w:rFonts w:ascii="Times New Roman" w:hAnsi="Times New Roman" w:cs="Times New Roman"/>
          <w:color w:val="000000" w:themeColor="text1"/>
        </w:rPr>
        <w:t xml:space="preserve"> Eliminate directed and preferential lending practices</w:t>
      </w:r>
    </w:p>
    <w:p w14:paraId="7FC95D0E"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4. </w:t>
      </w:r>
      <w:r w:rsidRPr="004B194E">
        <w:rPr>
          <w:rFonts w:ascii="Times New Roman" w:hAnsi="Times New Roman" w:cs="Times New Roman"/>
          <w:b/>
          <w:color w:val="000000" w:themeColor="text1"/>
        </w:rPr>
        <w:t>Strengthen Supervision:</w:t>
      </w:r>
      <w:r w:rsidRPr="004B194E">
        <w:rPr>
          <w:rFonts w:ascii="Times New Roman" w:hAnsi="Times New Roman" w:cs="Times New Roman"/>
          <w:color w:val="000000" w:themeColor="text1"/>
        </w:rPr>
        <w:t xml:space="preserve"> Enhance regulatory and supervisory frameworks per FSAP</w:t>
      </w:r>
    </w:p>
    <w:p w14:paraId="6B03E4E9"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5. </w:t>
      </w:r>
      <w:r w:rsidRPr="004B194E">
        <w:rPr>
          <w:rFonts w:ascii="Times New Roman" w:hAnsi="Times New Roman" w:cs="Times New Roman"/>
          <w:b/>
          <w:color w:val="000000" w:themeColor="text1"/>
        </w:rPr>
        <w:t>Crisis Management:</w:t>
      </w:r>
      <w:r w:rsidRPr="004B194E">
        <w:rPr>
          <w:rFonts w:ascii="Times New Roman" w:hAnsi="Times New Roman" w:cs="Times New Roman"/>
          <w:color w:val="000000" w:themeColor="text1"/>
        </w:rPr>
        <w:t xml:space="preserve"> Develop robust crisis management and bank resolution frameworks</w:t>
      </w:r>
    </w:p>
    <w:p w14:paraId="0F719E2E"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6. </w:t>
      </w:r>
      <w:r w:rsidRPr="004B194E">
        <w:rPr>
          <w:rFonts w:ascii="Times New Roman" w:hAnsi="Times New Roman" w:cs="Times New Roman"/>
          <w:b/>
          <w:color w:val="000000" w:themeColor="text1"/>
        </w:rPr>
        <w:t>AML/CFT:</w:t>
      </w:r>
      <w:r w:rsidRPr="004B194E">
        <w:rPr>
          <w:rFonts w:ascii="Times New Roman" w:hAnsi="Times New Roman" w:cs="Times New Roman"/>
          <w:color w:val="000000" w:themeColor="text1"/>
        </w:rPr>
        <w:t xml:space="preserve"> Strengthen anti-money laundering and countering the financing of terrorism frameworks</w:t>
      </w:r>
    </w:p>
    <w:p w14:paraId="14CE14F8"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5.5 Microcredit Sector Risks</w:t>
      </w:r>
    </w:p>
    <w:p w14:paraId="410721CB"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The microcredit sector is experiencing rapid growth, creating both financial inclusion opportunities and financial stability risks. Additional macroprudential measures could help mitigate risks from this rapid expansion, including:</w:t>
      </w:r>
    </w:p>
    <w:p w14:paraId="49A84F53"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Borrower protection frameworks</w:t>
      </w:r>
    </w:p>
    <w:p w14:paraId="58F7F02D"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Responsible lending standards</w:t>
      </w:r>
    </w:p>
    <w:p w14:paraId="3AC5E410"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Provisioning and capital requirements</w:t>
      </w:r>
    </w:p>
    <w:p w14:paraId="54CAFB00"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Supervisory capacity for non-bank financial institutions</w:t>
      </w:r>
    </w:p>
    <w:p w14:paraId="0A0C09E4"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5.6 Capital Markets Development</w:t>
      </w:r>
    </w:p>
    <w:p w14:paraId="0AE42FF8"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Current State:</w:t>
      </w:r>
      <w:r w:rsidRPr="004B194E">
        <w:rPr>
          <w:rFonts w:ascii="Times New Roman" w:hAnsi="Times New Roman" w:cs="Times New Roman"/>
          <w:color w:val="000000" w:themeColor="text1"/>
        </w:rPr>
        <w:t xml:space="preserve"> Domestic capital markets remain underdeveloped and shallow. The specific local bond market size as a percentage of GDP is not provided, but the market is characterized as nascent.</w:t>
      </w:r>
    </w:p>
    <w:p w14:paraId="6F110326"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Development Strategy:</w:t>
      </w:r>
      <w:r w:rsidRPr="004B194E">
        <w:rPr>
          <w:rFonts w:ascii="Times New Roman" w:hAnsi="Times New Roman" w:cs="Times New Roman"/>
          <w:color w:val="000000" w:themeColor="text1"/>
        </w:rPr>
        <w:t xml:space="preserve"> A Capital Markets Development Strategy was adopted in 2021 with EBRD support, aiming to deepen markets and provide alternative financing channels. Key elements include:</w:t>
      </w:r>
    </w:p>
    <w:p w14:paraId="7AB2C2A3"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lastRenderedPageBreak/>
        <w:t>Development of equity markets</w:t>
      </w:r>
    </w:p>
    <w:p w14:paraId="36E1CE8B"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Corporate and municipal bond market development</w:t>
      </w:r>
    </w:p>
    <w:p w14:paraId="0FBD708F"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Regulatory framework enhancement</w:t>
      </w:r>
    </w:p>
    <w:p w14:paraId="7193CB0E"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Investor base development</w:t>
      </w:r>
    </w:p>
    <w:p w14:paraId="4DE1BF43"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Infrastructure (trading systems, clearance and settlement, custody)</w:t>
      </w:r>
    </w:p>
    <w:p w14:paraId="68734BD3"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Progress:</w:t>
      </w:r>
      <w:r w:rsidRPr="004B194E">
        <w:rPr>
          <w:rFonts w:ascii="Times New Roman" w:hAnsi="Times New Roman" w:cs="Times New Roman"/>
          <w:color w:val="000000" w:themeColor="text1"/>
        </w:rPr>
        <w:t xml:space="preserve"> Limited progress to date. Credit to the economy is growing from a relatively low base, the banking sector remains concentrated, and the bond market is nascent. EBRD's equity investment in TBC Bank (Uzbekistan's first fully digital bank) represents one of the few equity market development initiatives.</w:t>
      </w:r>
    </w:p>
    <w:p w14:paraId="2A30B95E"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5.7 Currency and Hedging Markets</w:t>
      </w:r>
    </w:p>
    <w:p w14:paraId="2A440B37"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Local Currency Hedging Depth:</w:t>
      </w:r>
      <w:r w:rsidRPr="004B194E">
        <w:rPr>
          <w:rFonts w:ascii="Times New Roman" w:hAnsi="Times New Roman" w:cs="Times New Roman"/>
          <w:color w:val="000000" w:themeColor="text1"/>
        </w:rPr>
        <w:t xml:space="preserve"> Limited. While Uzbekistan has achieved full currency convertibility, the depth of local currency hedging instruments remains shallow. Major projects are typically USD-denominated to avoid currency risk.</w:t>
      </w:r>
    </w:p>
    <w:p w14:paraId="0F6EFC13"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Hedging Solutions:</w:t>
      </w:r>
      <w:r w:rsidRPr="004B194E">
        <w:rPr>
          <w:rFonts w:ascii="Times New Roman" w:hAnsi="Times New Roman" w:cs="Times New Roman"/>
          <w:color w:val="000000" w:themeColor="text1"/>
        </w:rPr>
        <w:t xml:space="preserve"> EBRD has provided hedging support, including a USD 20 million cross-currency swap for clients to facilitate currency risk management. Further development of FX derivatives markets is needed to support domestic currency financing and reduce dollarization.</w:t>
      </w:r>
    </w:p>
    <w:p w14:paraId="2FC91622"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Dollarization:</w:t>
      </w:r>
      <w:r w:rsidRPr="004B194E">
        <w:rPr>
          <w:rFonts w:ascii="Times New Roman" w:hAnsi="Times New Roman" w:cs="Times New Roman"/>
          <w:color w:val="000000" w:themeColor="text1"/>
        </w:rPr>
        <w:t xml:space="preserve"> Not specifically quantified in available data. Currency liberalization and free convertibility suggest lower dollarization than historically, but the limited hedging market and preference for USD-denominated contracts in large projects indicate continued dollarization in certain segments.</w:t>
      </w:r>
    </w:p>
    <w:p w14:paraId="5062D6CA"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5.8 Financial Sector Assessment Program (FSAP)</w:t>
      </w:r>
    </w:p>
    <w:p w14:paraId="7AD6E550"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The </w:t>
      </w:r>
      <w:r w:rsidRPr="004B194E">
        <w:rPr>
          <w:rFonts w:ascii="Times New Roman" w:hAnsi="Times New Roman" w:cs="Times New Roman"/>
          <w:b/>
          <w:color w:val="000000" w:themeColor="text1"/>
        </w:rPr>
        <w:t>first Financial Sector Assessment Program (FSAP)</w:t>
      </w:r>
      <w:r w:rsidRPr="004B194E">
        <w:rPr>
          <w:rFonts w:ascii="Times New Roman" w:hAnsi="Times New Roman" w:cs="Times New Roman"/>
          <w:color w:val="000000" w:themeColor="text1"/>
        </w:rPr>
        <w:t xml:space="preserve"> was conducted jointly by the IMF and World Bank, providing comprehensive recommendations across multiple dimensions:</w:t>
      </w:r>
    </w:p>
    <w:p w14:paraId="2128176A"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1. </w:t>
      </w:r>
      <w:r w:rsidRPr="004B194E">
        <w:rPr>
          <w:rFonts w:ascii="Times New Roman" w:hAnsi="Times New Roman" w:cs="Times New Roman"/>
          <w:b/>
          <w:color w:val="000000" w:themeColor="text1"/>
        </w:rPr>
        <w:t>Bank Supervision and Regulation:</w:t>
      </w:r>
      <w:r w:rsidRPr="004B194E">
        <w:rPr>
          <w:rFonts w:ascii="Times New Roman" w:hAnsi="Times New Roman" w:cs="Times New Roman"/>
          <w:color w:val="000000" w:themeColor="text1"/>
        </w:rPr>
        <w:t xml:space="preserve"> Enhance supervisory capacity, frameworks, and enforcement</w:t>
      </w:r>
    </w:p>
    <w:p w14:paraId="1A16FFF9"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2. </w:t>
      </w:r>
      <w:r w:rsidRPr="004B194E">
        <w:rPr>
          <w:rFonts w:ascii="Times New Roman" w:hAnsi="Times New Roman" w:cs="Times New Roman"/>
          <w:b/>
          <w:color w:val="000000" w:themeColor="text1"/>
        </w:rPr>
        <w:t>Asset Classification:</w:t>
      </w:r>
      <w:r w:rsidRPr="004B194E">
        <w:rPr>
          <w:rFonts w:ascii="Times New Roman" w:hAnsi="Times New Roman" w:cs="Times New Roman"/>
          <w:color w:val="000000" w:themeColor="text1"/>
        </w:rPr>
        <w:t xml:space="preserve"> Strengthen asset classification standards</w:t>
      </w:r>
    </w:p>
    <w:p w14:paraId="7F66AB5A"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3. </w:t>
      </w:r>
      <w:r w:rsidRPr="004B194E">
        <w:rPr>
          <w:rFonts w:ascii="Times New Roman" w:hAnsi="Times New Roman" w:cs="Times New Roman"/>
          <w:b/>
          <w:color w:val="000000" w:themeColor="text1"/>
        </w:rPr>
        <w:t>NPL Frameworks:</w:t>
      </w:r>
      <w:r w:rsidRPr="004B194E">
        <w:rPr>
          <w:rFonts w:ascii="Times New Roman" w:hAnsi="Times New Roman" w:cs="Times New Roman"/>
          <w:color w:val="000000" w:themeColor="text1"/>
        </w:rPr>
        <w:t xml:space="preserve"> Improve NPL reporting and resolution mechanisms</w:t>
      </w:r>
    </w:p>
    <w:p w14:paraId="20C888DE"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4. </w:t>
      </w:r>
      <w:r w:rsidRPr="004B194E">
        <w:rPr>
          <w:rFonts w:ascii="Times New Roman" w:hAnsi="Times New Roman" w:cs="Times New Roman"/>
          <w:b/>
          <w:color w:val="000000" w:themeColor="text1"/>
        </w:rPr>
        <w:t>Regulatory Frameworks:</w:t>
      </w:r>
      <w:r w:rsidRPr="004B194E">
        <w:rPr>
          <w:rFonts w:ascii="Times New Roman" w:hAnsi="Times New Roman" w:cs="Times New Roman"/>
          <w:color w:val="000000" w:themeColor="text1"/>
        </w:rPr>
        <w:t xml:space="preserve"> Modernize prudential regulations aligned with international standards</w:t>
      </w:r>
    </w:p>
    <w:p w14:paraId="48377926"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5. </w:t>
      </w:r>
      <w:r w:rsidRPr="004B194E">
        <w:rPr>
          <w:rFonts w:ascii="Times New Roman" w:hAnsi="Times New Roman" w:cs="Times New Roman"/>
          <w:b/>
          <w:color w:val="000000" w:themeColor="text1"/>
        </w:rPr>
        <w:t>Crisis Management:</w:t>
      </w:r>
      <w:r w:rsidRPr="004B194E">
        <w:rPr>
          <w:rFonts w:ascii="Times New Roman" w:hAnsi="Times New Roman" w:cs="Times New Roman"/>
          <w:color w:val="000000" w:themeColor="text1"/>
        </w:rPr>
        <w:t xml:space="preserve"> Develop crisis management, resolution, and deposit insurance frameworks</w:t>
      </w:r>
    </w:p>
    <w:p w14:paraId="132F921B"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6. </w:t>
      </w:r>
      <w:r w:rsidRPr="004B194E">
        <w:rPr>
          <w:rFonts w:ascii="Times New Roman" w:hAnsi="Times New Roman" w:cs="Times New Roman"/>
          <w:b/>
          <w:color w:val="000000" w:themeColor="text1"/>
        </w:rPr>
        <w:t>AML/CFT:</w:t>
      </w:r>
      <w:r w:rsidRPr="004B194E">
        <w:rPr>
          <w:rFonts w:ascii="Times New Roman" w:hAnsi="Times New Roman" w:cs="Times New Roman"/>
          <w:color w:val="000000" w:themeColor="text1"/>
        </w:rPr>
        <w:t xml:space="preserve"> Strengthen anti-money laundering and countering the financing of terrorism</w:t>
      </w:r>
    </w:p>
    <w:p w14:paraId="2304CD7B"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7. </w:t>
      </w:r>
      <w:r w:rsidRPr="004B194E">
        <w:rPr>
          <w:rFonts w:ascii="Times New Roman" w:hAnsi="Times New Roman" w:cs="Times New Roman"/>
          <w:b/>
          <w:color w:val="000000" w:themeColor="text1"/>
        </w:rPr>
        <w:t>Macroprudential Policy:</w:t>
      </w:r>
      <w:r w:rsidRPr="004B194E">
        <w:rPr>
          <w:rFonts w:ascii="Times New Roman" w:hAnsi="Times New Roman" w:cs="Times New Roman"/>
          <w:color w:val="000000" w:themeColor="text1"/>
        </w:rPr>
        <w:t xml:space="preserve"> Adopt macroprudential measures, particularly for microcredit risks</w:t>
      </w:r>
    </w:p>
    <w:p w14:paraId="0A4BBFF4"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8. </w:t>
      </w:r>
      <w:r w:rsidRPr="004B194E">
        <w:rPr>
          <w:rFonts w:ascii="Times New Roman" w:hAnsi="Times New Roman" w:cs="Times New Roman"/>
          <w:b/>
          <w:color w:val="000000" w:themeColor="text1"/>
        </w:rPr>
        <w:t>State Bank Governance:</w:t>
      </w:r>
      <w:r w:rsidRPr="004B194E">
        <w:rPr>
          <w:rFonts w:ascii="Times New Roman" w:hAnsi="Times New Roman" w:cs="Times New Roman"/>
          <w:color w:val="000000" w:themeColor="text1"/>
        </w:rPr>
        <w:t xml:space="preserve"> Improve commercial orientation and governance of state banks</w:t>
      </w:r>
    </w:p>
    <w:p w14:paraId="170FA612"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9. </w:t>
      </w:r>
      <w:r w:rsidRPr="004B194E">
        <w:rPr>
          <w:rFonts w:ascii="Times New Roman" w:hAnsi="Times New Roman" w:cs="Times New Roman"/>
          <w:b/>
          <w:color w:val="000000" w:themeColor="text1"/>
        </w:rPr>
        <w:t>Directed Lending:</w:t>
      </w:r>
      <w:r w:rsidRPr="004B194E">
        <w:rPr>
          <w:rFonts w:ascii="Times New Roman" w:hAnsi="Times New Roman" w:cs="Times New Roman"/>
          <w:color w:val="000000" w:themeColor="text1"/>
        </w:rPr>
        <w:t xml:space="preserve"> Phase out directed and preferential lending practices</w:t>
      </w:r>
    </w:p>
    <w:p w14:paraId="4E62BD61"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10. </w:t>
      </w:r>
      <w:r w:rsidRPr="004B194E">
        <w:rPr>
          <w:rFonts w:ascii="Times New Roman" w:hAnsi="Times New Roman" w:cs="Times New Roman"/>
          <w:b/>
          <w:color w:val="000000" w:themeColor="text1"/>
        </w:rPr>
        <w:t>Privatization:</w:t>
      </w:r>
      <w:r w:rsidRPr="004B194E">
        <w:rPr>
          <w:rFonts w:ascii="Times New Roman" w:hAnsi="Times New Roman" w:cs="Times New Roman"/>
          <w:color w:val="000000" w:themeColor="text1"/>
        </w:rPr>
        <w:t xml:space="preserve"> Accelerate privatization of state-owned financial institutions</w:t>
      </w:r>
    </w:p>
    <w:p w14:paraId="3D081EF6"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lastRenderedPageBreak/>
        <w:t>The authorities are implementing these FSAP recommendations as a priority, recognizing that financial sector development is critical for sustainable, private sector-led growth.</w:t>
      </w:r>
    </w:p>
    <w:p w14:paraId="7B988C58" w14:textId="77777777" w:rsidR="008E5991" w:rsidRPr="004B194E" w:rsidRDefault="008E5991" w:rsidP="0000333D">
      <w:pPr>
        <w:spacing w:before="120" w:after="120"/>
        <w:jc w:val="both"/>
        <w:rPr>
          <w:rFonts w:ascii="Times New Roman" w:hAnsi="Times New Roman" w:cs="Times New Roman"/>
          <w:color w:val="000000" w:themeColor="text1"/>
        </w:rPr>
      </w:pPr>
    </w:p>
    <w:p w14:paraId="5C5C46B4" w14:textId="77777777" w:rsidR="007C28F1" w:rsidRDefault="007C28F1" w:rsidP="0000333D">
      <w:pPr>
        <w:pStyle w:val="Heading1"/>
        <w:jc w:val="both"/>
        <w:sectPr w:rsidR="007C28F1" w:rsidSect="00034616">
          <w:pgSz w:w="12240" w:h="15840"/>
          <w:pgMar w:top="1440" w:right="1800" w:bottom="1440" w:left="1800" w:header="720" w:footer="720" w:gutter="0"/>
          <w:cols w:space="720"/>
          <w:docGrid w:linePitch="360"/>
        </w:sectPr>
      </w:pPr>
    </w:p>
    <w:p w14:paraId="264D0907" w14:textId="77777777" w:rsidR="008E5991" w:rsidRPr="004B194E" w:rsidRDefault="00000000" w:rsidP="0000333D">
      <w:pPr>
        <w:pStyle w:val="Heading1"/>
        <w:jc w:val="both"/>
      </w:pPr>
      <w:r w:rsidRPr="004B194E">
        <w:lastRenderedPageBreak/>
        <w:t xml:space="preserve">6. </w:t>
      </w:r>
      <w:proofErr w:type="gramStart"/>
      <w:r w:rsidRPr="004B194E">
        <w:t>DEVELOPMENT</w:t>
      </w:r>
      <w:proofErr w:type="gramEnd"/>
      <w:r w:rsidRPr="004B194E">
        <w:t xml:space="preserve"> PRIORITIES AND STRUCTURAL REFORMS</w:t>
      </w:r>
    </w:p>
    <w:p w14:paraId="74600B29"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6.1 Development Strategy for New Uzbekistan 2022-2026</w:t>
      </w:r>
    </w:p>
    <w:p w14:paraId="239917E3"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The comprehensive Development Strategy provides the medium-term policy framework with </w:t>
      </w:r>
      <w:r w:rsidRPr="004B194E">
        <w:rPr>
          <w:rFonts w:ascii="Times New Roman" w:hAnsi="Times New Roman" w:cs="Times New Roman"/>
          <w:b/>
          <w:color w:val="000000" w:themeColor="text1"/>
        </w:rPr>
        <w:t>7 strategic priorities, 100 specific goals, and nearly 400 actions</w:t>
      </w:r>
      <w:r w:rsidRPr="004B194E">
        <w:rPr>
          <w:rFonts w:ascii="Times New Roman" w:hAnsi="Times New Roman" w:cs="Times New Roman"/>
          <w:color w:val="000000" w:themeColor="text1"/>
        </w:rPr>
        <w:t>. This strategy guides government policy across all dimensions and provides a predictable framework for investors and development partners.</w:t>
      </w:r>
    </w:p>
    <w:p w14:paraId="433619D6"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The Seven Strategic Priorities:</w:t>
      </w:r>
    </w:p>
    <w:p w14:paraId="0D89ED54"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1. </w:t>
      </w:r>
      <w:r w:rsidRPr="004B194E">
        <w:rPr>
          <w:rFonts w:ascii="Times New Roman" w:hAnsi="Times New Roman" w:cs="Times New Roman"/>
          <w:b/>
          <w:color w:val="000000" w:themeColor="text1"/>
        </w:rPr>
        <w:t>Building People-Centered State:</w:t>
      </w:r>
      <w:r w:rsidRPr="004B194E">
        <w:rPr>
          <w:rFonts w:ascii="Times New Roman" w:hAnsi="Times New Roman" w:cs="Times New Roman"/>
          <w:color w:val="000000" w:themeColor="text1"/>
        </w:rPr>
        <w:t xml:space="preserve"> Improving public administration, digital governance, simplified business registration and permitting to create a predictable regulatory environment</w:t>
      </w:r>
    </w:p>
    <w:p w14:paraId="7F626709"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2. </w:t>
      </w:r>
      <w:r w:rsidRPr="004B194E">
        <w:rPr>
          <w:rFonts w:ascii="Times New Roman" w:hAnsi="Times New Roman" w:cs="Times New Roman"/>
          <w:b/>
          <w:color w:val="000000" w:themeColor="text1"/>
        </w:rPr>
        <w:t>Judicial and Legal Reform:</w:t>
      </w:r>
      <w:r w:rsidRPr="004B194E">
        <w:rPr>
          <w:rFonts w:ascii="Times New Roman" w:hAnsi="Times New Roman" w:cs="Times New Roman"/>
          <w:color w:val="000000" w:themeColor="text1"/>
        </w:rPr>
        <w:t xml:space="preserve"> Reinforcing judicial independence and efficiency, protecting citizens' and investors' rights, increasing transparency</w:t>
      </w:r>
    </w:p>
    <w:p w14:paraId="7D17B4F5"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3. </w:t>
      </w:r>
      <w:r w:rsidRPr="004B194E">
        <w:rPr>
          <w:rFonts w:ascii="Times New Roman" w:hAnsi="Times New Roman" w:cs="Times New Roman"/>
          <w:b/>
          <w:color w:val="000000" w:themeColor="text1"/>
        </w:rPr>
        <w:t>Economic Development and Competitiveness:</w:t>
      </w:r>
      <w:r w:rsidRPr="004B194E">
        <w:rPr>
          <w:rFonts w:ascii="Times New Roman" w:hAnsi="Times New Roman" w:cs="Times New Roman"/>
          <w:color w:val="000000" w:themeColor="text1"/>
        </w:rPr>
        <w:t xml:space="preserve"> Accelerating structural reforms, SOE privatization, PPP program expansion, private sector development</w:t>
      </w:r>
    </w:p>
    <w:p w14:paraId="11862267"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4. </w:t>
      </w:r>
      <w:r w:rsidRPr="004B194E">
        <w:rPr>
          <w:rFonts w:ascii="Times New Roman" w:hAnsi="Times New Roman" w:cs="Times New Roman"/>
          <w:b/>
          <w:color w:val="000000" w:themeColor="text1"/>
        </w:rPr>
        <w:t>Social Sphere and Human Capital:</w:t>
      </w:r>
      <w:r w:rsidRPr="004B194E">
        <w:rPr>
          <w:rFonts w:ascii="Times New Roman" w:hAnsi="Times New Roman" w:cs="Times New Roman"/>
          <w:color w:val="000000" w:themeColor="text1"/>
        </w:rPr>
        <w:t xml:space="preserve"> Education reform, healthcare improvement, social protection, protecting human interests</w:t>
      </w:r>
    </w:p>
    <w:p w14:paraId="61E28595"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5. </w:t>
      </w:r>
      <w:r w:rsidRPr="004B194E">
        <w:rPr>
          <w:rFonts w:ascii="Times New Roman" w:hAnsi="Times New Roman" w:cs="Times New Roman"/>
          <w:b/>
          <w:color w:val="000000" w:themeColor="text1"/>
        </w:rPr>
        <w:t>Environmental Protection and Natural Resources:</w:t>
      </w:r>
      <w:r w:rsidRPr="004B194E">
        <w:rPr>
          <w:rFonts w:ascii="Times New Roman" w:hAnsi="Times New Roman" w:cs="Times New Roman"/>
          <w:color w:val="000000" w:themeColor="text1"/>
        </w:rPr>
        <w:t xml:space="preserve"> Climate adaptation, green transition, water resource management, biodiversity conservation</w:t>
      </w:r>
    </w:p>
    <w:p w14:paraId="4A2B9FDC"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6. </w:t>
      </w:r>
      <w:r w:rsidRPr="004B194E">
        <w:rPr>
          <w:rFonts w:ascii="Times New Roman" w:hAnsi="Times New Roman" w:cs="Times New Roman"/>
          <w:b/>
          <w:color w:val="000000" w:themeColor="text1"/>
        </w:rPr>
        <w:t>Security and Interethnic Harmony:</w:t>
      </w:r>
      <w:r w:rsidRPr="004B194E">
        <w:rPr>
          <w:rFonts w:ascii="Times New Roman" w:hAnsi="Times New Roman" w:cs="Times New Roman"/>
          <w:color w:val="000000" w:themeColor="text1"/>
        </w:rPr>
        <w:t xml:space="preserve"> Social cohesion, regional development, reducing disparities</w:t>
      </w:r>
    </w:p>
    <w:p w14:paraId="06A0A8FF"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7. </w:t>
      </w:r>
      <w:r w:rsidRPr="004B194E">
        <w:rPr>
          <w:rFonts w:ascii="Times New Roman" w:hAnsi="Times New Roman" w:cs="Times New Roman"/>
          <w:b/>
          <w:color w:val="000000" w:themeColor="text1"/>
        </w:rPr>
        <w:t>Multi-Vector Foreign Policy:</w:t>
      </w:r>
      <w:r w:rsidRPr="004B194E">
        <w:rPr>
          <w:rFonts w:ascii="Times New Roman" w:hAnsi="Times New Roman" w:cs="Times New Roman"/>
          <w:color w:val="000000" w:themeColor="text1"/>
        </w:rPr>
        <w:t xml:space="preserve"> Regional cooperation, international integration, WTO accession, foreign investment attraction</w:t>
      </w:r>
    </w:p>
    <w:p w14:paraId="5C7FEB98"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6.2 EBRD Country Strategy 2024-2029 Priorities</w:t>
      </w:r>
    </w:p>
    <w:p w14:paraId="327DFF76"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The EBRD's Country Strategy for Uzbekistan 2024-2029 (approved by the Board of Directors on 24 January 2024) establishes three strategic priorities aligned with the country's development needs:</w:t>
      </w:r>
    </w:p>
    <w:p w14:paraId="26BE1228" w14:textId="77777777" w:rsidR="008E5991" w:rsidRPr="004B194E" w:rsidRDefault="00000000" w:rsidP="0000333D">
      <w:pPr>
        <w:pStyle w:val="Heading3"/>
        <w:jc w:val="both"/>
        <w:rPr>
          <w:rFonts w:ascii="Times New Roman" w:hAnsi="Times New Roman" w:cs="Times New Roman"/>
          <w:color w:val="000000" w:themeColor="text1"/>
        </w:rPr>
      </w:pPr>
      <w:r w:rsidRPr="004B194E">
        <w:rPr>
          <w:rFonts w:ascii="Times New Roman" w:hAnsi="Times New Roman" w:cs="Times New Roman"/>
          <w:color w:val="000000" w:themeColor="text1"/>
          <w:sz w:val="24"/>
        </w:rPr>
        <w:t>**Priority 1: Develop Private Sector and Foster Employment, Skills, Inclusion and Digital Transition**</w:t>
      </w:r>
    </w:p>
    <w:p w14:paraId="64CB5C86"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This priority focuses on overall expansion of the private sector as the engine of growth, innovation, and sustainable job creation. Given the current large state share in the economy, support will be comprehensive including:</w:t>
      </w:r>
    </w:p>
    <w:p w14:paraId="68A97245"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Target Segments:</w:t>
      </w:r>
    </w:p>
    <w:p w14:paraId="4791A8FE"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Local large companies and SMEs</w:t>
      </w:r>
    </w:p>
    <w:p w14:paraId="3A0CEFA4"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Foreign direct investment</w:t>
      </w:r>
    </w:p>
    <w:p w14:paraId="1D52387A"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Acceleration of PPP program</w:t>
      </w:r>
    </w:p>
    <w:p w14:paraId="764D6840"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Transformation and privatization of SOEs and banks</w:t>
      </w:r>
    </w:p>
    <w:p w14:paraId="12A5477A"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lastRenderedPageBreak/>
        <w:t>Key Achievements (Previous Strategy):</w:t>
      </w:r>
    </w:p>
    <w:p w14:paraId="69B3E045"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Improved access to finance for more than 2,000 SMEs, providing EUR 380 million in credit lines through 9 partner banks and Uzbek leasing companies</w:t>
      </w:r>
    </w:p>
    <w:p w14:paraId="34AFA5D0"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Over 230 SME advisory projects covering different sectors, including more than 70 with women entrepreneurs and approximately 40 in rural areas</w:t>
      </w:r>
    </w:p>
    <w:p w14:paraId="5178E1DF"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Trainings to 380+ individuals from banks and the Central Bank of Uzbekistan</w:t>
      </w:r>
    </w:p>
    <w:p w14:paraId="257E0287"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50 e-learning modules developed</w:t>
      </w:r>
    </w:p>
    <w:p w14:paraId="6E33B8B3"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50 training sessions for SMEs and consultants, including 30 for women-led SMEs under the Women in Business (WiB) program</w:t>
      </w:r>
    </w:p>
    <w:p w14:paraId="5141AC0E"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Digital finance through equity investment in Uzbekistan's first fully digital bank, TBC Bank</w:t>
      </w:r>
    </w:p>
    <w:p w14:paraId="5F7266D5"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Capital Markets Development Strategy formulation, adopted in 2021</w:t>
      </w:r>
    </w:p>
    <w:p w14:paraId="42DFD9BD"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USD 20 million cross-currency swap to facilitate currency risk management</w:t>
      </w:r>
    </w:p>
    <w:p w14:paraId="20B0F1C4"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USD 40 million equity investment in Anglesey Food grocery retail chain</w:t>
      </w:r>
    </w:p>
    <w:p w14:paraId="3F37B855"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USD 15 million loan for Meros Pharm pharmaceuticals</w:t>
      </w:r>
    </w:p>
    <w:p w14:paraId="57A75D55"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Technical assistance for SOE corporate governance and state-owned commercial bank privatization through the State Assets Management Agency</w:t>
      </w:r>
    </w:p>
    <w:p w14:paraId="4AB47885"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Advisory Council on Women Entrepreneurship established</w:t>
      </w:r>
    </w:p>
    <w:p w14:paraId="08805CB6"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Foreign Investors Council established in 2022</w:t>
      </w:r>
    </w:p>
    <w:p w14:paraId="3F717627"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Remaining Challenges:</w:t>
      </w:r>
    </w:p>
    <w:p w14:paraId="7ECE8D4E"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SME development constrained by inadequate skills, high cost of finance, administrative burdens</w:t>
      </w:r>
    </w:p>
    <w:p w14:paraId="550FF30E"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Youth unemployment at 13.8% (2022)</w:t>
      </w:r>
    </w:p>
    <w:p w14:paraId="5FEC3487"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Female labor force participation at 40.01%, lagging comparators</w:t>
      </w:r>
    </w:p>
    <w:p w14:paraId="03A81416"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Need to address regional economic gaps and promote inclusion</w:t>
      </w:r>
    </w:p>
    <w:p w14:paraId="621738D4"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Skills mismatches with approximately 500,000 annual new labor market entrants requiring training</w:t>
      </w:r>
    </w:p>
    <w:p w14:paraId="2FEBF6A2" w14:textId="77777777" w:rsidR="008E5991" w:rsidRPr="004B194E" w:rsidRDefault="00000000" w:rsidP="0000333D">
      <w:pPr>
        <w:pStyle w:val="Heading3"/>
        <w:jc w:val="both"/>
        <w:rPr>
          <w:rFonts w:ascii="Times New Roman" w:hAnsi="Times New Roman" w:cs="Times New Roman"/>
          <w:color w:val="000000" w:themeColor="text1"/>
        </w:rPr>
      </w:pPr>
      <w:r w:rsidRPr="004B194E">
        <w:rPr>
          <w:rFonts w:ascii="Times New Roman" w:hAnsi="Times New Roman" w:cs="Times New Roman"/>
          <w:color w:val="000000" w:themeColor="text1"/>
          <w:sz w:val="24"/>
        </w:rPr>
        <w:t>**Priority 2: Support Decarbonisation, Green Cities, Water Efficiency, and Cleaner Energy**</w:t>
      </w:r>
    </w:p>
    <w:p w14:paraId="0A61619F"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This priority emphasizes decarbonization of energy production and key economic sectors, reduction of climate vulnerability, and major uplift in municipal and environmental utilities services.</w:t>
      </w:r>
    </w:p>
    <w:p w14:paraId="54EAD026"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Key Achievements:</w:t>
      </w:r>
    </w:p>
    <w:p w14:paraId="4F403545"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Co-financed first two privately owned renewable energy projects: two solar PV plants in Navoi and Samarkand regions with combined 200MW capacity, equivalent to heating 20,000 homes yearly</w:t>
      </w:r>
    </w:p>
    <w:p w14:paraId="6D486E62"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USD 74 million for 500MW greenfield wind power plant in Navoi, introducing 'Identiflight' system (first in Central Asia) to monitor species at risk of turbine collision</w:t>
      </w:r>
    </w:p>
    <w:p w14:paraId="0EBF8909"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Launched Green Economy Financing Facility supporting SME climate investments</w:t>
      </w:r>
    </w:p>
    <w:p w14:paraId="64F8D33E"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Advised on transparent competitive regime for renewable power auctions</w:t>
      </w:r>
    </w:p>
    <w:p w14:paraId="38CCDB79"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lastRenderedPageBreak/>
        <w:t>Drafted low carbon pathway achieving carbon neutrality in electricity by 2050, adopted by the Government</w:t>
      </w:r>
    </w:p>
    <w:p w14:paraId="260C84A7"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Catalyzed Uzbekistan's Global Methane Pledge participation</w:t>
      </w:r>
    </w:p>
    <w:p w14:paraId="4949D063"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USD 50 million Surkhandarya and USD 70 million Namangan clean water/wastewater infrastructure, providing access for 230,000 people and reducing water losses</w:t>
      </w:r>
    </w:p>
    <w:p w14:paraId="2FCC3803"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Green Cities Action Plan development for Samarkand</w:t>
      </w:r>
    </w:p>
    <w:p w14:paraId="488DA0F5"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E-buses and depot infrastructure in Samarkand</w:t>
      </w:r>
    </w:p>
    <w:p w14:paraId="7C64B6FC"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Results (2018-2022):</w:t>
      </w:r>
    </w:p>
    <w:p w14:paraId="3ECCD589"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27,926,076 GJ/year primary energy saved</w:t>
      </w:r>
    </w:p>
    <w:p w14:paraId="5328C980"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110,630,504 m³/year water saved</w:t>
      </w:r>
    </w:p>
    <w:p w14:paraId="5EC72072"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3,340 ktonnes/year CO₂e emissions reduced</w:t>
      </w:r>
    </w:p>
    <w:p w14:paraId="1834934D"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1,700 MW renewable capacity installed</w:t>
      </w:r>
    </w:p>
    <w:p w14:paraId="3403BB4D"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Challenges:</w:t>
      </w:r>
    </w:p>
    <w:p w14:paraId="0E355A02"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High energy intensity: 7.54 TES/GDP (MJ/2017$) versus comparators</w:t>
      </w:r>
    </w:p>
    <w:p w14:paraId="2FCABAD2"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Emission intensity 0.46 kgCO₂/2017$ is high</w:t>
      </w:r>
    </w:p>
    <w:p w14:paraId="0F6DD7B1"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Continued low energy/water/resource efficiency</w:t>
      </w:r>
    </w:p>
    <w:p w14:paraId="03F86D22"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Water scarcity increasing</w:t>
      </w:r>
    </w:p>
    <w:p w14:paraId="6C7F5DEE"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CO₂ emissions elevated</w:t>
      </w:r>
    </w:p>
    <w:p w14:paraId="6D437695"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Energy sector needs modernization and grid integration for renewables</w:t>
      </w:r>
    </w:p>
    <w:p w14:paraId="50292D89" w14:textId="77777777" w:rsidR="008E5991" w:rsidRPr="004B194E" w:rsidRDefault="00000000" w:rsidP="0000333D">
      <w:pPr>
        <w:pStyle w:val="Heading3"/>
        <w:jc w:val="both"/>
        <w:rPr>
          <w:rFonts w:ascii="Times New Roman" w:hAnsi="Times New Roman" w:cs="Times New Roman"/>
          <w:color w:val="000000" w:themeColor="text1"/>
        </w:rPr>
      </w:pPr>
      <w:r w:rsidRPr="004B194E">
        <w:rPr>
          <w:rFonts w:ascii="Times New Roman" w:hAnsi="Times New Roman" w:cs="Times New Roman"/>
          <w:color w:val="000000" w:themeColor="text1"/>
          <w:sz w:val="24"/>
        </w:rPr>
        <w:t>**Priority 3: Promote Economic Governance and Business Climate Improvements and Enhance Infrastructure Connectivity**</w:t>
      </w:r>
    </w:p>
    <w:p w14:paraId="56C4C0E7"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This priority focuses on creating a favorable environment for the private sector and economic development through better governance, stronger institutions and rule of law, as well as connectivity infrastructure (regional and global, transport and energy), policy measures, and financing tools to enhance trade and export potential.</w:t>
      </w:r>
    </w:p>
    <w:p w14:paraId="5529397B"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Key Achievements:</w:t>
      </w:r>
    </w:p>
    <w:p w14:paraId="298EFC2D"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Sustained policy advice strengthening public governance and business environment</w:t>
      </w:r>
    </w:p>
    <w:p w14:paraId="6D6D11AD"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SOE reform and governance strategy 2021-2025 adopted (de facto State Assets Ownership policy)</w:t>
      </w:r>
    </w:p>
    <w:p w14:paraId="0C4C170E"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Law on state property management</w:t>
      </w:r>
    </w:p>
    <w:p w14:paraId="5E1D3BA4"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Capital Markets Development Strategy 2021</w:t>
      </w:r>
    </w:p>
    <w:p w14:paraId="2285EE54"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Foreign Investors Council established 2022</w:t>
      </w:r>
    </w:p>
    <w:p w14:paraId="0714C7A3"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PPP Law 2019 adopted, strengthening legal and institutional frameworks</w:t>
      </w:r>
    </w:p>
    <w:p w14:paraId="433B77C1"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EU-funded study on Sustainable Transport Connections between Europe and Central Asia, prioritizing investments</w:t>
      </w:r>
    </w:p>
    <w:p w14:paraId="5B6E0226"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Advised on Tashkent-Samarkand toll road PPP</w:t>
      </w:r>
    </w:p>
    <w:p w14:paraId="2655603F"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Trade Facilitation Programme completing more than 1,100 transactions totaling EUR 690 million</w:t>
      </w:r>
    </w:p>
    <w:p w14:paraId="345A0EB4"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EUR 71 million NavoiTransmission for regional electricity transmission network upgrade</w:t>
      </w:r>
    </w:p>
    <w:p w14:paraId="7DF2E39B"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Tourism investments in Khiva hotels and restaurants</w:t>
      </w:r>
    </w:p>
    <w:p w14:paraId="6A12B7CD"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lastRenderedPageBreak/>
        <w:t>Khiva development masterplan under Integrated Cultural Heritage Framework</w:t>
      </w:r>
    </w:p>
    <w:p w14:paraId="6B223579"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Challenges:</w:t>
      </w:r>
    </w:p>
    <w:p w14:paraId="1A6A426B"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Double landlocked geography limiting market access</w:t>
      </w:r>
    </w:p>
    <w:p w14:paraId="7982C63A"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Logistics infrastructure gaps</w:t>
      </w:r>
    </w:p>
    <w:p w14:paraId="28FBAA97"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Limited regional value chain participation</w:t>
      </w:r>
    </w:p>
    <w:p w14:paraId="59CC1EB9"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Governance improvements needed, though progress made</w:t>
      </w:r>
    </w:p>
    <w:p w14:paraId="06C37E12"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Corruption ranking 121/180 (Transparency International CPI 2024), down from earlier but still a concern</w:t>
      </w:r>
    </w:p>
    <w:p w14:paraId="14C82A5F"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SOE dominance continues despite privatization progress</w:t>
      </w:r>
    </w:p>
    <w:p w14:paraId="5E0E29F8"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Business climate constraints remain</w:t>
      </w:r>
    </w:p>
    <w:p w14:paraId="606CF66B"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Judicial independence needs strengthening</w:t>
      </w:r>
    </w:p>
    <w:p w14:paraId="4F365338"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6.3 Cross-Cutting Themes</w:t>
      </w:r>
    </w:p>
    <w:p w14:paraId="722357D8"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Gender Inclusion:</w:t>
      </w:r>
    </w:p>
    <w:p w14:paraId="50EDE4C4"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Women in Business (WiB) programs</w:t>
      </w:r>
    </w:p>
    <w:p w14:paraId="516E113D"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Women entrepreneurship support</w:t>
      </w:r>
    </w:p>
    <w:p w14:paraId="0698296E"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Advisory Council on Women Entrepreneurship</w:t>
      </w:r>
    </w:p>
    <w:p w14:paraId="167A1364"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Female labor force participation improvement initiatives</w:t>
      </w:r>
    </w:p>
    <w:p w14:paraId="6446A02B"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Skills Development and Employment:</w:t>
      </w:r>
    </w:p>
    <w:p w14:paraId="047B7E59"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Youth employment programs (addressing 13.8% youth unemployment)</w:t>
      </w:r>
    </w:p>
    <w:p w14:paraId="10AABEF4"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Skills training for approximately 500,000 annual new labor market entrants</w:t>
      </w:r>
    </w:p>
    <w:p w14:paraId="016C46F9"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Vocational training alignment with industrial needs</w:t>
      </w:r>
    </w:p>
    <w:p w14:paraId="31EB7801"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Regional Development:</w:t>
      </w:r>
    </w:p>
    <w:p w14:paraId="31678506"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Addressing economic disparities between Tashkent and other regions</w:t>
      </w:r>
    </w:p>
    <w:p w14:paraId="6B67012B"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Rural development initiatives</w:t>
      </w:r>
    </w:p>
    <w:p w14:paraId="69A4C9D7"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Regional infrastructure connectivity</w:t>
      </w:r>
    </w:p>
    <w:p w14:paraId="71E01F09"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Governance and Transparency:</w:t>
      </w:r>
    </w:p>
    <w:p w14:paraId="3E13859F"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Anti-corruption efforts</w:t>
      </w:r>
    </w:p>
    <w:p w14:paraId="0DF9E73A"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National Anti-Corruption Strategy approval (pending)</w:t>
      </w:r>
    </w:p>
    <w:p w14:paraId="472853F7"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Public administration modernization</w:t>
      </w:r>
    </w:p>
    <w:p w14:paraId="712A17E6"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E-governance and digital transformation</w:t>
      </w:r>
    </w:p>
    <w:p w14:paraId="76E3C558"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Climate Adaptation and Green Transition:</w:t>
      </w:r>
    </w:p>
    <w:p w14:paraId="1B16A54D"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NDC (Nationally Determined Contributions) implementation</w:t>
      </w:r>
    </w:p>
    <w:p w14:paraId="4ED036D7"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Low carbon pathway to carbon neutrality in electricity by 2050</w:t>
      </w:r>
    </w:p>
    <w:p w14:paraId="24D4B4F7"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Global Methane Pledge participation</w:t>
      </w:r>
    </w:p>
    <w:p w14:paraId="0F2F3FED"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Green Cities initiative</w:t>
      </w:r>
    </w:p>
    <w:p w14:paraId="22B4128F"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PPP Framework Development:</w:t>
      </w:r>
    </w:p>
    <w:p w14:paraId="7138B8E9"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Legal and institutional framework capacity building</w:t>
      </w:r>
    </w:p>
    <w:p w14:paraId="281AAEFE"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Fiscal risk management</w:t>
      </w:r>
    </w:p>
    <w:p w14:paraId="22B812ED"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lastRenderedPageBreak/>
        <w:t>Project preparation and transaction advisory</w:t>
      </w:r>
    </w:p>
    <w:p w14:paraId="0ABAE0F9"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Trade Facilitation and Export Promotion:</w:t>
      </w:r>
    </w:p>
    <w:p w14:paraId="3E555FE3"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WTO accession support</w:t>
      </w:r>
    </w:p>
    <w:p w14:paraId="6C4C607A"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Trade Facilitation Programme</w:t>
      </w:r>
    </w:p>
    <w:p w14:paraId="491E206E"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Export competitiveness enhancement</w:t>
      </w:r>
    </w:p>
    <w:p w14:paraId="23CEFC65"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Human Capital Development:</w:t>
      </w:r>
    </w:p>
    <w:p w14:paraId="56B57FC3"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Education reform</w:t>
      </w:r>
    </w:p>
    <w:p w14:paraId="0BF34A36"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Healthcare improvement</w:t>
      </w:r>
    </w:p>
    <w:p w14:paraId="0F72C273"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Social protection strengthening</w:t>
      </w:r>
    </w:p>
    <w:p w14:paraId="409A7E88"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6.4 Transition Impact Assessment - EBRD Framework</w:t>
      </w:r>
    </w:p>
    <w:p w14:paraId="01F50F90"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The EBRD assesses transition quality across five attributes, with Uzbekistan showing varying performance:</w:t>
      </w:r>
    </w:p>
    <w:p w14:paraId="3162A6DC"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Table 11: EBRD Transition Quality Assessment</w:t>
      </w:r>
    </w:p>
    <w:tbl>
      <w:tblPr>
        <w:tblStyle w:val="LightGrid-Accent1"/>
        <w:tblW w:w="0" w:type="auto"/>
        <w:tblLook w:val="04A0" w:firstRow="1" w:lastRow="0" w:firstColumn="1" w:lastColumn="0" w:noHBand="0" w:noVBand="1"/>
      </w:tblPr>
      <w:tblGrid>
        <w:gridCol w:w="2880"/>
        <w:gridCol w:w="2880"/>
        <w:gridCol w:w="2880"/>
      </w:tblGrid>
      <w:tr w:rsidR="004B194E" w:rsidRPr="004B194E" w14:paraId="34A747E5" w14:textId="77777777" w:rsidTr="008E5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A80B75"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Attribute</w:t>
            </w:r>
          </w:p>
        </w:tc>
        <w:tc>
          <w:tcPr>
            <w:tcW w:w="2880" w:type="dxa"/>
          </w:tcPr>
          <w:p w14:paraId="39CC6790"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Score/Assessment</w:t>
            </w:r>
          </w:p>
        </w:tc>
        <w:tc>
          <w:tcPr>
            <w:tcW w:w="2880" w:type="dxa"/>
          </w:tcPr>
          <w:p w14:paraId="71ADD3E7"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Key Gaps and Opportunities</w:t>
            </w:r>
          </w:p>
        </w:tc>
      </w:tr>
      <w:tr w:rsidR="004B194E" w:rsidRPr="004B194E" w14:paraId="7A5256A8"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7DE327"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**Competitive**</w:t>
            </w:r>
          </w:p>
        </w:tc>
        <w:tc>
          <w:tcPr>
            <w:tcW w:w="2880" w:type="dxa"/>
          </w:tcPr>
          <w:p w14:paraId="4880032B"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68</w:t>
            </w:r>
          </w:p>
        </w:tc>
        <w:tc>
          <w:tcPr>
            <w:tcW w:w="2880" w:type="dxa"/>
          </w:tcPr>
          <w:p w14:paraId="720664B5"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Insufficient diversification; SME constraints (skills, finance, admin); export competitiveness improving but gaps remain; SOE dominance limiting competition; infrastructure bottlenecks (double landlocked)</w:t>
            </w:r>
          </w:p>
        </w:tc>
      </w:tr>
      <w:tr w:rsidR="004B194E" w:rsidRPr="004B194E" w14:paraId="6A0A0554"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3D3623E"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**Well-Governed**</w:t>
            </w:r>
          </w:p>
        </w:tc>
        <w:tc>
          <w:tcPr>
            <w:tcW w:w="2880" w:type="dxa"/>
          </w:tcPr>
          <w:p w14:paraId="1F6CBE11"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64</w:t>
            </w:r>
          </w:p>
        </w:tc>
        <w:tc>
          <w:tcPr>
            <w:tcW w:w="2880" w:type="dxa"/>
          </w:tcPr>
          <w:p w14:paraId="29C447FA"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Progress uneven; corruption 121/180 (TI 2024); SOE governance requiring reform; judicial system needs strengthening; property rights concerns declining but remain; transparency improving but gaps persist</w:t>
            </w:r>
          </w:p>
        </w:tc>
      </w:tr>
      <w:tr w:rsidR="004B194E" w:rsidRPr="004B194E" w14:paraId="2E1B2EB6"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7B5A9C"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**Green**</w:t>
            </w:r>
          </w:p>
        </w:tc>
        <w:tc>
          <w:tcPr>
            <w:tcW w:w="2880" w:type="dxa"/>
          </w:tcPr>
          <w:p w14:paraId="204FC626"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Substantially below potential</w:t>
            </w:r>
          </w:p>
        </w:tc>
        <w:tc>
          <w:tcPr>
            <w:tcW w:w="2880" w:type="dxa"/>
          </w:tcPr>
          <w:p w14:paraId="2F71717A"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High energy intensity (7.54) and emission intensity (0.46); water scarcity critical; low resource efficiency; however, positive momentum with low carbon pathway, renewables expansion, Green Cities</w:t>
            </w:r>
          </w:p>
        </w:tc>
      </w:tr>
      <w:tr w:rsidR="004B194E" w:rsidRPr="004B194E" w14:paraId="5E5A41F5"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DBCA57"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**Inclusive**</w:t>
            </w:r>
          </w:p>
        </w:tc>
        <w:tc>
          <w:tcPr>
            <w:tcW w:w="2880" w:type="dxa"/>
          </w:tcPr>
          <w:p w14:paraId="01EE5DBA"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40</w:t>
            </w:r>
          </w:p>
        </w:tc>
        <w:tc>
          <w:tcPr>
            <w:tcW w:w="2880" w:type="dxa"/>
          </w:tcPr>
          <w:p w14:paraId="308E4E30"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 xml:space="preserve">Youth unemployment 13.8%; </w:t>
            </w:r>
            <w:r w:rsidRPr="004B194E">
              <w:rPr>
                <w:rFonts w:ascii="Times New Roman" w:hAnsi="Times New Roman" w:cs="Times New Roman"/>
                <w:color w:val="000000" w:themeColor="text1"/>
              </w:rPr>
              <w:lastRenderedPageBreak/>
              <w:t>female labor force participation 40% (low); regional disparities; informality prevalent; poverty declined to 8.9% but challenges remain; skills mismatches</w:t>
            </w:r>
          </w:p>
        </w:tc>
      </w:tr>
      <w:tr w:rsidR="004B194E" w:rsidRPr="004B194E" w14:paraId="1B85D0AD"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A13F87"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lastRenderedPageBreak/>
              <w:t>**Resilient**</w:t>
            </w:r>
          </w:p>
        </w:tc>
        <w:tc>
          <w:tcPr>
            <w:tcW w:w="2880" w:type="dxa"/>
          </w:tcPr>
          <w:p w14:paraId="100EEA9F"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w:t>
            </w:r>
          </w:p>
        </w:tc>
        <w:tc>
          <w:tcPr>
            <w:tcW w:w="2880" w:type="dxa"/>
          </w:tcPr>
          <w:p w14:paraId="274BA1AA"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External vulnerabilities (trading partner concentration, commodity dependence); climate vulnerability (water stress, agriculture risks); fiscal risks (PPP 27% GDP, SOEs); banking sector risks (microcredit growth, state bank exposures)</w:t>
            </w:r>
          </w:p>
        </w:tc>
      </w:tr>
      <w:tr w:rsidR="004B194E" w:rsidRPr="004B194E" w14:paraId="2DC7C1B8"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A32F1F"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**Integrated**</w:t>
            </w:r>
          </w:p>
        </w:tc>
        <w:tc>
          <w:tcPr>
            <w:tcW w:w="2880" w:type="dxa"/>
          </w:tcPr>
          <w:p w14:paraId="4A53B3E5"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71</w:t>
            </w:r>
          </w:p>
        </w:tc>
        <w:tc>
          <w:tcPr>
            <w:tcW w:w="2880" w:type="dxa"/>
          </w:tcPr>
          <w:p w14:paraId="082926F2"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Double landlocked geography major constraint; transport infrastructure gaps; logistics costs high; limited regional value chain participation; however, trade-to-GDP ~61% improving; WTO accession progressing; CKU railway under construction</w:t>
            </w:r>
          </w:p>
        </w:tc>
      </w:tr>
    </w:tbl>
    <w:p w14:paraId="635F8556" w14:textId="77777777" w:rsidR="008E5991" w:rsidRPr="004B194E" w:rsidRDefault="008E5991" w:rsidP="0000333D">
      <w:pPr>
        <w:jc w:val="both"/>
        <w:rPr>
          <w:rFonts w:ascii="Times New Roman" w:hAnsi="Times New Roman" w:cs="Times New Roman"/>
          <w:color w:val="000000" w:themeColor="text1"/>
        </w:rPr>
      </w:pPr>
    </w:p>
    <w:p w14:paraId="628B17BF"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6.5 SOE Governance and Privatization</w:t>
      </w:r>
    </w:p>
    <w:p w14:paraId="0D1ADC9F"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Current Situation:</w:t>
      </w:r>
      <w:r w:rsidRPr="004B194E">
        <w:rPr>
          <w:rFonts w:ascii="Times New Roman" w:hAnsi="Times New Roman" w:cs="Times New Roman"/>
          <w:color w:val="000000" w:themeColor="text1"/>
        </w:rPr>
        <w:t xml:space="preserve"> The economy continues to be dominated by large state-owned enterprises across multiple sectors, creating inefficiencies, market distortions, and fiscal risks.</w:t>
      </w:r>
    </w:p>
    <w:p w14:paraId="5A8E7842"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Reform Framework:</w:t>
      </w:r>
    </w:p>
    <w:p w14:paraId="26A8542B"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SOE reform and governance strategy 2021-2025 adopted (de facto State Assets Ownership policy)</w:t>
      </w:r>
    </w:p>
    <w:p w14:paraId="22B1C772"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Law on state property management enacted</w:t>
      </w:r>
    </w:p>
    <w:p w14:paraId="193D2161"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State Assets Management Agency receiving capacity building from EBRD and other partners</w:t>
      </w:r>
    </w:p>
    <w:p w14:paraId="59364C38"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Privatization Progress:</w:t>
      </w:r>
    </w:p>
    <w:p w14:paraId="1316F336"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Talimarjan Thermal Power Plant: 80% privatized to Mubadala Investment Company and TAQA (Abu Dhabi National Energy Company) in 2025, representing approximately USD 1.7 billion equivalent transaction</w:t>
      </w:r>
    </w:p>
    <w:p w14:paraId="727D238C"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TBC Bank: Uzbekistan's first fully digital bank with private equity participation</w:t>
      </w:r>
    </w:p>
    <w:p w14:paraId="45C9B642"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State bank privatization: Progressing but slow</w:t>
      </w:r>
    </w:p>
    <w:p w14:paraId="6661DA51"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lastRenderedPageBreak/>
        <w:t>Remaining Challenges:</w:t>
      </w:r>
    </w:p>
    <w:p w14:paraId="5301352F"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SOEs pose fiscal risks through contingent liabilities and potential support needs</w:t>
      </w:r>
    </w:p>
    <w:p w14:paraId="70622B28"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Directed lending through state-owned commercial banks continues, though phasing out is recommended</w:t>
      </w:r>
    </w:p>
    <w:p w14:paraId="011E8AA2"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SOE performance monitoring and accountability improving but gaps remain</w:t>
      </w:r>
    </w:p>
    <w:p w14:paraId="0BB907F3"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Board composition and independence need strengthening</w:t>
      </w:r>
    </w:p>
    <w:p w14:paraId="5472B75D"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Transparency remains limited in many SOEs</w:t>
      </w:r>
    </w:p>
    <w:p w14:paraId="4FF15811"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Commercial orientation weak in many entities</w:t>
      </w:r>
    </w:p>
    <w:p w14:paraId="78CC6E45"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Competition distortions from SOE market participation</w:t>
      </w:r>
    </w:p>
    <w:p w14:paraId="55AF550F"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Need for separation of commercial and policy objectives</w:t>
      </w:r>
    </w:p>
    <w:p w14:paraId="425F145D"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Recommendations:</w:t>
      </w:r>
    </w:p>
    <w:p w14:paraId="549D0D8C"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Accelerate privatizations following international best practices per EBRD/IMF advice</w:t>
      </w:r>
    </w:p>
    <w:p w14:paraId="281DA4EE"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Strengthen SOE governance frameworks</w:t>
      </w:r>
    </w:p>
    <w:p w14:paraId="144CF59C"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Improve SOE financial reporting and transparency</w:t>
      </w:r>
    </w:p>
    <w:p w14:paraId="67772F85"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Phase out SOE subsidies and support</w:t>
      </w:r>
    </w:p>
    <w:p w14:paraId="6266F6F4"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Ensure competitive neutrality between SOEs and private firms</w:t>
      </w:r>
    </w:p>
    <w:p w14:paraId="231CCF3A"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6.6 WTO Accession</w:t>
      </w:r>
    </w:p>
    <w:p w14:paraId="23469CB8"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Uzbekistan is in the process of acceding to the World Trade Organization (WTO), which will deepen global trade integration and provide an external anchor for trade policy reforms.</w:t>
      </w:r>
    </w:p>
    <w:p w14:paraId="66F6FE9B"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Benefits of Accession:</w:t>
      </w:r>
    </w:p>
    <w:p w14:paraId="2C927041"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Improved market access for Uzbek exports</w:t>
      </w:r>
    </w:p>
    <w:p w14:paraId="08E92F54"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Stronger trade rules and dispute resolution mechanisms</w:t>
      </w:r>
    </w:p>
    <w:p w14:paraId="74C96874"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Enhanced investor confidence through rules-based trade regime</w:t>
      </w:r>
    </w:p>
    <w:p w14:paraId="6DB91A28"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Pressure for continued domestic reforms</w:t>
      </w:r>
    </w:p>
    <w:p w14:paraId="712D5FA6"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Integration into global value chains</w:t>
      </w:r>
    </w:p>
    <w:p w14:paraId="74BB4B87"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Progress:</w:t>
      </w:r>
      <w:r w:rsidRPr="004B194E">
        <w:rPr>
          <w:rFonts w:ascii="Times New Roman" w:hAnsi="Times New Roman" w:cs="Times New Roman"/>
          <w:color w:val="000000" w:themeColor="text1"/>
        </w:rPr>
        <w:t xml:space="preserve"> WTO accession process is advancing, with authorities making this a priority. However, delays in completing accession could slow trade integration benefits.</w:t>
      </w:r>
    </w:p>
    <w:p w14:paraId="504D6D5B"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6.7 Climate and Energy Reforms</w:t>
      </w:r>
    </w:p>
    <w:p w14:paraId="45692AE1"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Low Carbon Pathway:</w:t>
      </w:r>
      <w:r w:rsidRPr="004B194E">
        <w:rPr>
          <w:rFonts w:ascii="Times New Roman" w:hAnsi="Times New Roman" w:cs="Times New Roman"/>
          <w:color w:val="000000" w:themeColor="text1"/>
        </w:rPr>
        <w:t xml:space="preserve"> The Government has adopted a low carbon pathway achieving carbon neutrality in electricity by 2050, drafted with EBRD support. This provides a strategic framework for energy sector transformation.</w:t>
      </w:r>
    </w:p>
    <w:p w14:paraId="6E9EC603"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Global Methane Pledge:</w:t>
      </w:r>
      <w:r w:rsidRPr="004B194E">
        <w:rPr>
          <w:rFonts w:ascii="Times New Roman" w:hAnsi="Times New Roman" w:cs="Times New Roman"/>
          <w:color w:val="000000" w:themeColor="text1"/>
        </w:rPr>
        <w:t xml:space="preserve"> Uzbekistan has joined the Global Methane Pledge, committing to reduce methane emissions, particularly relevant given the country's natural gas production and agricultural sector.</w:t>
      </w:r>
    </w:p>
    <w:p w14:paraId="5C1F5DD8"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Renewable Energy:</w:t>
      </w:r>
      <w:r w:rsidRPr="004B194E">
        <w:rPr>
          <w:rFonts w:ascii="Times New Roman" w:hAnsi="Times New Roman" w:cs="Times New Roman"/>
          <w:color w:val="000000" w:themeColor="text1"/>
        </w:rPr>
        <w:t xml:space="preserve"> Renewable energy auctions have been introduced with EBRD advice on transparent competitive regime design. The pipeline includes:</w:t>
      </w:r>
    </w:p>
    <w:p w14:paraId="3A6011F1"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200MW solar PV operational (Navoi and Samarkand)</w:t>
      </w:r>
    </w:p>
    <w:p w14:paraId="129D28AA"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500MW wind power plant under development (Navoi)</w:t>
      </w:r>
    </w:p>
    <w:p w14:paraId="322DBAA1"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lastRenderedPageBreak/>
        <w:t>Further renewable capacity in planning</w:t>
      </w:r>
    </w:p>
    <w:p w14:paraId="1F5D8729"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Energy Price Reform:</w:t>
      </w:r>
      <w:r w:rsidRPr="004B194E">
        <w:rPr>
          <w:rFonts w:ascii="Times New Roman" w:hAnsi="Times New Roman" w:cs="Times New Roman"/>
          <w:color w:val="000000" w:themeColor="text1"/>
        </w:rPr>
        <w:t xml:space="preserve"> Necessary energy price adjustments were implemented in May 2024, contributing to inflation spike to 10.6%. While politically sensitive, these reforms are essential for:</w:t>
      </w:r>
    </w:p>
    <w:p w14:paraId="6216ED1C"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Fiscal sustainability (reducing energy subsidies)</w:t>
      </w:r>
    </w:p>
    <w:p w14:paraId="24933460"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Efficient resource allocation</w:t>
      </w:r>
    </w:p>
    <w:p w14:paraId="3E4CFB40"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Attracting private investment in the energy sector</w:t>
      </w:r>
    </w:p>
    <w:p w14:paraId="2A4F9ED1"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Cost recovery for energy utilities</w:t>
      </w:r>
    </w:p>
    <w:p w14:paraId="4B8C863A"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Grid Modernization:</w:t>
      </w:r>
      <w:r w:rsidRPr="004B194E">
        <w:rPr>
          <w:rFonts w:ascii="Times New Roman" w:hAnsi="Times New Roman" w:cs="Times New Roman"/>
          <w:color w:val="000000" w:themeColor="text1"/>
        </w:rPr>
        <w:t xml:space="preserve"> Significant investment is needed for grid modernization to integrate increasing renewable energy capacity. Projects like NavoiTransmission (EUR 71 million) are addressing regional electricity transmission needs.</w:t>
      </w:r>
    </w:p>
    <w:p w14:paraId="690631CA"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Water Resource Management:</w:t>
      </w:r>
      <w:r w:rsidRPr="004B194E">
        <w:rPr>
          <w:rFonts w:ascii="Times New Roman" w:hAnsi="Times New Roman" w:cs="Times New Roman"/>
          <w:color w:val="000000" w:themeColor="text1"/>
        </w:rPr>
        <w:t xml:space="preserve"> Water scarcity is an increasing and critical challenge, particularly given agriculture's 20.6% share of GDP. Investments in water supply, sanitation, and irrigation efficiency are priorities:</w:t>
      </w:r>
    </w:p>
    <w:p w14:paraId="2DB1009B"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USD 50 million Surkhandarya water infrastructure</w:t>
      </w:r>
    </w:p>
    <w:p w14:paraId="7A70F533"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USD 70 million Namangan water infrastructure</w:t>
      </w:r>
    </w:p>
    <w:p w14:paraId="5A7B9CE3"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Irrigation efficiency improvements needed</w:t>
      </w:r>
    </w:p>
    <w:p w14:paraId="533E97F1" w14:textId="77777777" w:rsidR="008E5991" w:rsidRPr="004B194E" w:rsidRDefault="008E5991" w:rsidP="0000333D">
      <w:pPr>
        <w:spacing w:before="120" w:after="120"/>
        <w:jc w:val="both"/>
        <w:rPr>
          <w:rFonts w:ascii="Times New Roman" w:hAnsi="Times New Roman" w:cs="Times New Roman"/>
          <w:color w:val="000000" w:themeColor="text1"/>
        </w:rPr>
      </w:pPr>
    </w:p>
    <w:p w14:paraId="0496E39C" w14:textId="77777777" w:rsidR="004D213B" w:rsidRDefault="004D213B" w:rsidP="0000333D">
      <w:pPr>
        <w:pStyle w:val="Heading1"/>
        <w:jc w:val="both"/>
        <w:sectPr w:rsidR="004D213B" w:rsidSect="00034616">
          <w:pgSz w:w="12240" w:h="15840"/>
          <w:pgMar w:top="1440" w:right="1800" w:bottom="1440" w:left="1800" w:header="720" w:footer="720" w:gutter="0"/>
          <w:cols w:space="720"/>
          <w:docGrid w:linePitch="360"/>
        </w:sectPr>
      </w:pPr>
    </w:p>
    <w:p w14:paraId="2357CC79" w14:textId="77777777" w:rsidR="008E5991" w:rsidRPr="004B194E" w:rsidRDefault="00000000" w:rsidP="0000333D">
      <w:pPr>
        <w:pStyle w:val="Heading1"/>
        <w:jc w:val="both"/>
      </w:pPr>
      <w:r w:rsidRPr="004B194E">
        <w:lastRenderedPageBreak/>
        <w:t>7. INFRASTRUCTURE SECTOR ANALYSIS</w:t>
      </w:r>
    </w:p>
    <w:p w14:paraId="7A4C0237"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7.1 Infrastructure Needs Assessment</w:t>
      </w:r>
    </w:p>
    <w:p w14:paraId="50FDE407"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Uzbekistan faces substantial infrastructure gaps across multiple sectors, constraining economic growth, competitiveness, and quality of life. The double landlocked geography creates particularly acute transport and logistics challenges.</w:t>
      </w:r>
    </w:p>
    <w:p w14:paraId="3721B7AF"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Table 12: Infrastructure Sector Bottlenecks and Financing Gaps</w:t>
      </w:r>
    </w:p>
    <w:tbl>
      <w:tblPr>
        <w:tblStyle w:val="LightGrid-Accent1"/>
        <w:tblW w:w="0" w:type="auto"/>
        <w:tblLook w:val="04A0" w:firstRow="1" w:lastRow="0" w:firstColumn="1" w:lastColumn="0" w:noHBand="0" w:noVBand="1"/>
      </w:tblPr>
      <w:tblGrid>
        <w:gridCol w:w="2160"/>
        <w:gridCol w:w="2160"/>
        <w:gridCol w:w="2160"/>
        <w:gridCol w:w="2160"/>
      </w:tblGrid>
      <w:tr w:rsidR="004B194E" w:rsidRPr="004B194E" w14:paraId="0EB0111A" w14:textId="77777777" w:rsidTr="008E5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39097EE"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Sector</w:t>
            </w:r>
          </w:p>
        </w:tc>
        <w:tc>
          <w:tcPr>
            <w:tcW w:w="2160" w:type="dxa"/>
          </w:tcPr>
          <w:p w14:paraId="7D2159C0"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Key Bottlenecks</w:t>
            </w:r>
          </w:p>
        </w:tc>
        <w:tc>
          <w:tcPr>
            <w:tcW w:w="2160" w:type="dxa"/>
          </w:tcPr>
          <w:p w14:paraId="037D2838"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Financing Gaps</w:t>
            </w:r>
          </w:p>
        </w:tc>
        <w:tc>
          <w:tcPr>
            <w:tcW w:w="2160" w:type="dxa"/>
          </w:tcPr>
          <w:p w14:paraId="737C9D6B"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Priority Projects</w:t>
            </w:r>
          </w:p>
        </w:tc>
      </w:tr>
      <w:tr w:rsidR="004B194E" w:rsidRPr="004B194E" w14:paraId="3F9CED8D"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38CD669"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**Transport**</w:t>
            </w:r>
          </w:p>
        </w:tc>
        <w:tc>
          <w:tcPr>
            <w:tcW w:w="2160" w:type="dxa"/>
          </w:tcPr>
          <w:p w14:paraId="1D0A23F5"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Double landlocked geography; logistics infrastructure gaps; high trade costs; limited road network quality</w:t>
            </w:r>
          </w:p>
        </w:tc>
        <w:tc>
          <w:tcPr>
            <w:tcW w:w="2160" w:type="dxa"/>
          </w:tcPr>
          <w:p w14:paraId="29122F1E"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World Bank estimates USD 1.5bn annual financing gap for roads</w:t>
            </w:r>
          </w:p>
        </w:tc>
        <w:tc>
          <w:tcPr>
            <w:tcW w:w="2160" w:type="dxa"/>
          </w:tcPr>
          <w:p w14:paraId="39A665D2"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Tashkent-Andijan toll road (USD 4.3bn); Tashkent-Samarkand toll road (USD 2.2bn); China-Kyrgyzstan-Uzbekistan railway</w:t>
            </w:r>
          </w:p>
        </w:tc>
      </w:tr>
      <w:tr w:rsidR="004B194E" w:rsidRPr="004B194E" w14:paraId="21D949CD"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251FFE9"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**Energy**</w:t>
            </w:r>
          </w:p>
        </w:tc>
        <w:tc>
          <w:tcPr>
            <w:tcW w:w="2160" w:type="dxa"/>
          </w:tcPr>
          <w:p w14:paraId="1ED33E46"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Grid modernization needed; renewable integration challenges; energy losses high; power distribution needs upgrading</w:t>
            </w:r>
          </w:p>
        </w:tc>
        <w:tc>
          <w:tcPr>
            <w:tcW w:w="2160" w:type="dxa"/>
          </w:tcPr>
          <w:p w14:paraId="2908D8DA"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Substantial, though &gt;90% PPP value in energy sector indicates mobilization</w:t>
            </w:r>
          </w:p>
        </w:tc>
        <w:tc>
          <w:tcPr>
            <w:tcW w:w="2160" w:type="dxa"/>
          </w:tcPr>
          <w:p w14:paraId="5373F05F"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500MW wind power (Navoi); solar expansion; grid upgrades; transmission (NavoiTransmission EUR 71m)</w:t>
            </w:r>
          </w:p>
        </w:tc>
      </w:tr>
      <w:tr w:rsidR="004B194E" w:rsidRPr="004B194E" w14:paraId="70B83405"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7F0F66C"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**Water**</w:t>
            </w:r>
          </w:p>
        </w:tc>
        <w:tc>
          <w:tcPr>
            <w:tcW w:w="2160" w:type="dxa"/>
          </w:tcPr>
          <w:p w14:paraId="622A4282"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Water scarcity increasing (critical issue); irrigation efficiency low; water/sanitation infrastructure needs</w:t>
            </w:r>
          </w:p>
        </w:tc>
        <w:tc>
          <w:tcPr>
            <w:tcW w:w="2160" w:type="dxa"/>
          </w:tcPr>
          <w:p w14:paraId="0A4654B0"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Significant, particularly for sanitation and irrigation</w:t>
            </w:r>
          </w:p>
        </w:tc>
        <w:tc>
          <w:tcPr>
            <w:tcW w:w="2160" w:type="dxa"/>
          </w:tcPr>
          <w:p w14:paraId="472BA726"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Surkhandarya (USD 50m); Namangan (USD 70m); irrigation efficiency programs</w:t>
            </w:r>
          </w:p>
        </w:tc>
      </w:tr>
      <w:tr w:rsidR="004B194E" w:rsidRPr="004B194E" w14:paraId="267EE23D"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B08E23"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**Waste**</w:t>
            </w:r>
          </w:p>
        </w:tc>
        <w:tc>
          <w:tcPr>
            <w:tcW w:w="2160" w:type="dxa"/>
          </w:tcPr>
          <w:p w14:paraId="4149CB54"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Management infrastructure underdeveloped; urban services requiring investment</w:t>
            </w:r>
          </w:p>
        </w:tc>
        <w:tc>
          <w:tcPr>
            <w:tcW w:w="2160" w:type="dxa"/>
          </w:tcPr>
          <w:p w14:paraId="470A1D99"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Moderate but growing with urbanization</w:t>
            </w:r>
          </w:p>
        </w:tc>
        <w:tc>
          <w:tcPr>
            <w:tcW w:w="2160" w:type="dxa"/>
          </w:tcPr>
          <w:p w14:paraId="6A1E4661"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Municipal waste PPPs; integrated waste management systems</w:t>
            </w:r>
          </w:p>
        </w:tc>
      </w:tr>
      <w:tr w:rsidR="004B194E" w:rsidRPr="004B194E" w14:paraId="71ECE1E0"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CBA0052"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**Digital**</w:t>
            </w:r>
          </w:p>
        </w:tc>
        <w:tc>
          <w:tcPr>
            <w:tcW w:w="2160" w:type="dxa"/>
          </w:tcPr>
          <w:p w14:paraId="36AB328A"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ICT infrastructure expanding but gaps remain; fiber networks, data centers needed</w:t>
            </w:r>
          </w:p>
        </w:tc>
        <w:tc>
          <w:tcPr>
            <w:tcW w:w="2160" w:type="dxa"/>
          </w:tcPr>
          <w:p w14:paraId="60BEAF93"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Moderate</w:t>
            </w:r>
          </w:p>
        </w:tc>
        <w:tc>
          <w:tcPr>
            <w:tcW w:w="2160" w:type="dxa"/>
          </w:tcPr>
          <w:p w14:paraId="0E627345"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AIIB USD 100m Uzbekistan Telecom; fiber network expansion; data center development</w:t>
            </w:r>
          </w:p>
        </w:tc>
      </w:tr>
      <w:tr w:rsidR="004B194E" w:rsidRPr="004B194E" w14:paraId="1E0B004B"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7A236FA"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**Social**</w:t>
            </w:r>
          </w:p>
        </w:tc>
        <w:tc>
          <w:tcPr>
            <w:tcW w:w="2160" w:type="dxa"/>
          </w:tcPr>
          <w:p w14:paraId="1523DE2E"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Health and education facilities requiring modernization</w:t>
            </w:r>
          </w:p>
        </w:tc>
        <w:tc>
          <w:tcPr>
            <w:tcW w:w="2160" w:type="dxa"/>
          </w:tcPr>
          <w:p w14:paraId="1C0F3785"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Moderate</w:t>
            </w:r>
          </w:p>
        </w:tc>
        <w:tc>
          <w:tcPr>
            <w:tcW w:w="2160" w:type="dxa"/>
          </w:tcPr>
          <w:p w14:paraId="0ED1B49F"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 xml:space="preserve">Dialysis centers PPPs; school infrastructure; </w:t>
            </w:r>
            <w:r w:rsidRPr="004B194E">
              <w:rPr>
                <w:rFonts w:ascii="Times New Roman" w:hAnsi="Times New Roman" w:cs="Times New Roman"/>
                <w:color w:val="000000" w:themeColor="text1"/>
              </w:rPr>
              <w:lastRenderedPageBreak/>
              <w:t>hospital PPPs</w:t>
            </w:r>
          </w:p>
        </w:tc>
      </w:tr>
    </w:tbl>
    <w:p w14:paraId="2717107E" w14:textId="77777777" w:rsidR="008E5991" w:rsidRPr="004B194E" w:rsidRDefault="008E5991" w:rsidP="0000333D">
      <w:pPr>
        <w:jc w:val="both"/>
        <w:rPr>
          <w:rFonts w:ascii="Times New Roman" w:hAnsi="Times New Roman" w:cs="Times New Roman"/>
          <w:color w:val="000000" w:themeColor="text1"/>
        </w:rPr>
      </w:pPr>
    </w:p>
    <w:p w14:paraId="3AE0840C"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7.2 Transport Infrastructure</w:t>
      </w:r>
    </w:p>
    <w:p w14:paraId="523684C5"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Current Challenges:</w:t>
      </w:r>
    </w:p>
    <w:p w14:paraId="10904D31"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Uzbekistan's </w:t>
      </w:r>
      <w:r w:rsidRPr="004B194E">
        <w:rPr>
          <w:rFonts w:ascii="Times New Roman" w:hAnsi="Times New Roman" w:cs="Times New Roman"/>
          <w:b/>
          <w:color w:val="000000" w:themeColor="text1"/>
        </w:rPr>
        <w:t>double landlocked geography</w:t>
      </w:r>
      <w:r w:rsidRPr="004B194E">
        <w:rPr>
          <w:rFonts w:ascii="Times New Roman" w:hAnsi="Times New Roman" w:cs="Times New Roman"/>
          <w:color w:val="000000" w:themeColor="text1"/>
        </w:rPr>
        <w:t xml:space="preserve"> represents a fundamental structural constraint. The country is surrounded by other landlocked countries (Kazakhstan, Kyrgyzstan, Tajikistan, Turkmenistan, Afghanistan), severely restricting trade routes and market access. This geography results in:</w:t>
      </w:r>
    </w:p>
    <w:p w14:paraId="0AEDF931"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High logistics costs</w:t>
      </w:r>
    </w:p>
    <w:p w14:paraId="667D7C9A"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Extended transport times to seaports</w:t>
      </w:r>
    </w:p>
    <w:p w14:paraId="77221BCC"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Limited supply chain integration</w:t>
      </w:r>
    </w:p>
    <w:p w14:paraId="72916AFA"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Dependence on neighbor transit infrastructure</w:t>
      </w:r>
    </w:p>
    <w:p w14:paraId="4FC1DB0D"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High trade costs reducing export competitiveness</w:t>
      </w:r>
    </w:p>
    <w:p w14:paraId="5AFD60A8"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Road Infrastructure:</w:t>
      </w:r>
    </w:p>
    <w:p w14:paraId="4571EC31"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Presidential Decree No. PP-308 (2024) mandates development of up to 1,000 km of toll highways under PPP to ensure long-term financial viability through toll revenue models. The revised Law on Automobile Roads (2025, passed first parliamentary reading) integrates tolling provisions into the legal framework.</w:t>
      </w:r>
    </w:p>
    <w:p w14:paraId="3E7EE180"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Major Road Projects:</w:t>
      </w:r>
    </w:p>
    <w:p w14:paraId="249DD334"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Tashkent-Andijan Toll Road: USD 4.3 billion, 315 km, 49-year concession, DBFOM model, entered RFQ stage early 2025, more than 30 international companies expressed interest</w:t>
      </w:r>
    </w:p>
    <w:p w14:paraId="55BC345A"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Tashkent-Samarkand Toll Road: USD 2.2 billion, approved August 2024, tender launch planned 2025, construction expected late 2025, operations targeted 2028</w:t>
      </w:r>
    </w:p>
    <w:p w14:paraId="30313EF5"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Railway Infrastructure:</w:t>
      </w:r>
    </w:p>
    <w:p w14:paraId="6C4903CF"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China-Kyrgyzstan-Uzbekistan (CKU) Railway: Under construction, approximately 486 km linking Kashgar (China) through Kyrgyzstan to Andijan (Uzbekistan), cutting freight distances approximately 900 km and transport time up to 7 days versus current routes through Kazakhstan. This transformational project will significantly improve connectivity to China and provide alternative route to current Kazakhstan transit dependence.</w:t>
      </w:r>
    </w:p>
    <w:p w14:paraId="48240EFD"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Border Infrastructure:</w:t>
      </w:r>
      <w:r w:rsidRPr="004B194E">
        <w:rPr>
          <w:rFonts w:ascii="Times New Roman" w:hAnsi="Times New Roman" w:cs="Times New Roman"/>
          <w:color w:val="000000" w:themeColor="text1"/>
        </w:rPr>
        <w:t xml:space="preserve"> Needs upgrading to facilitate cross-border trade and regional integration.</w:t>
      </w:r>
    </w:p>
    <w:p w14:paraId="2A5FE43E"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Regional Connectivity Study:</w:t>
      </w:r>
      <w:r w:rsidRPr="004B194E">
        <w:rPr>
          <w:rFonts w:ascii="Times New Roman" w:hAnsi="Times New Roman" w:cs="Times New Roman"/>
          <w:color w:val="000000" w:themeColor="text1"/>
        </w:rPr>
        <w:t xml:space="preserve"> EU-funded study on Sustainable Transport Connections between Europe and Central Asia prioritized investments, supporting Uzbekistan's integration into trans-regional corridors.</w:t>
      </w:r>
    </w:p>
    <w:p w14:paraId="3BC3DA51"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7.3 Energy and Power Infrastructure</w:t>
      </w:r>
    </w:p>
    <w:p w14:paraId="639B2D51"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Current Situation:</w:t>
      </w:r>
      <w:r w:rsidRPr="004B194E">
        <w:rPr>
          <w:rFonts w:ascii="Times New Roman" w:hAnsi="Times New Roman" w:cs="Times New Roman"/>
          <w:color w:val="000000" w:themeColor="text1"/>
        </w:rPr>
        <w:t xml:space="preserve"> Over 90% of electricity has historically been generated from fossil fuels, though renewable energy expansion is rapidly changing this profile.</w:t>
      </w:r>
    </w:p>
    <w:p w14:paraId="532658BD"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Grid and Transmission:</w:t>
      </w:r>
    </w:p>
    <w:p w14:paraId="01271C1D"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lastRenderedPageBreak/>
        <w:t>Grid modernization needed to integrate increasing renewable energy capacity</w:t>
      </w:r>
    </w:p>
    <w:p w14:paraId="546E22A8"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Energy losses high, requiring distribution network upgrades</w:t>
      </w:r>
    </w:p>
    <w:p w14:paraId="2034619F"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Power distribution needs investment</w:t>
      </w:r>
    </w:p>
    <w:p w14:paraId="1491E6DB"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NavoiTransmission project (EUR 71 million) upgrading regional electricity transmission network</w:t>
      </w:r>
    </w:p>
    <w:p w14:paraId="3C522E16"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Renewable Energy Pipeline:</w:t>
      </w:r>
    </w:p>
    <w:p w14:paraId="37BEC341"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The energy sector represents more than 90% of PPPs by value through 2024, indicating the sector's priority status:</w:t>
      </w:r>
    </w:p>
    <w:p w14:paraId="2C557679"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Operational:</w:t>
      </w:r>
    </w:p>
    <w:p w14:paraId="65AEBBF9"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Two solar PV plants in Navoi and Samarkand regions: Combined 200MW capacity, equivalent to heating 20,000 homes yearly</w:t>
      </w:r>
    </w:p>
    <w:p w14:paraId="7B6E2C40"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Under Development:</w:t>
      </w:r>
    </w:p>
    <w:p w14:paraId="4CA48990"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500MW greenfield wind power plant in Navoi (USD 74 million EBRD financing), introducing 'Identiflight' system (first in Central Asia) to monitor species at risk of turbine collision and minimize environmental impact</w:t>
      </w:r>
    </w:p>
    <w:p w14:paraId="5F3E2BF5"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Framework:</w:t>
      </w:r>
    </w:p>
    <w:p w14:paraId="6F293D41"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Renewable power auction regime designed with EBRD advice on transparent competitive procurement</w:t>
      </w:r>
    </w:p>
    <w:p w14:paraId="1C1FCBFE"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Power Purchase Agreement (PPA) structures providing revenue certainty (e.g., Talimarjan TPP 25-year PPA with JSC Uzenergosotish)</w:t>
      </w:r>
    </w:p>
    <w:p w14:paraId="0AE19FFA"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Privatization:</w:t>
      </w:r>
    </w:p>
    <w:p w14:paraId="0CC2DEFD"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Talimarjan Thermal Power Plant:</w:t>
      </w:r>
      <w:r w:rsidRPr="004B194E">
        <w:rPr>
          <w:rFonts w:ascii="Times New Roman" w:hAnsi="Times New Roman" w:cs="Times New Roman"/>
          <w:color w:val="000000" w:themeColor="text1"/>
        </w:rPr>
        <w:t xml:space="preserve"> Landmark privatization in 2025 with 80% stake acquired by Mubadala Investment Company (40%) and Abu Dhabi National Energy Company TAQA (40%) for approximately USD 1.7 billion equivalent. This represents Uzbekistan's largest privatization and demonstrates growing international investor confidence. The 25-year Power Purchase Agreement with JSC Uzenergosotish (national offtaker) provides revenue certainty.</w:t>
      </w:r>
    </w:p>
    <w:p w14:paraId="2AF146FC"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7.4 Urban Services Infrastructure</w:t>
      </w:r>
    </w:p>
    <w:p w14:paraId="053CF86F"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Water Supply and Sanitation:</w:t>
      </w:r>
    </w:p>
    <w:p w14:paraId="0F13675C"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Water scarcity is an increasing and critical challenge given agriculture's 20.6% GDP share and growing urban demand. Projects include:</w:t>
      </w:r>
    </w:p>
    <w:p w14:paraId="7670EE43"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Surkhandarya Water Infrastructure: USD 50 million project</w:t>
      </w:r>
    </w:p>
    <w:p w14:paraId="6571893B"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Namangan Water Infrastructure: USD 70 million project</w:t>
      </w:r>
    </w:p>
    <w:p w14:paraId="4FAA973E"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Combined Impact: Providing clean water access for approximately 230,000 people and reducing water losses</w:t>
      </w:r>
    </w:p>
    <w:p w14:paraId="5E78F432"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Green Cities Initiative:</w:t>
      </w:r>
    </w:p>
    <w:p w14:paraId="613D17BA"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Samarkand selected for Green Cities Action Plan development and pilot investments:</w:t>
      </w:r>
    </w:p>
    <w:p w14:paraId="7FC4142E"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E-buses and depot infrastructure</w:t>
      </w:r>
    </w:p>
    <w:p w14:paraId="20473235"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lastRenderedPageBreak/>
        <w:t>Urban environmental improvements</w:t>
      </w:r>
    </w:p>
    <w:p w14:paraId="665DDAB7"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Climate adaptation measures</w:t>
      </w:r>
    </w:p>
    <w:p w14:paraId="399C98EA"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Waste Management:</w:t>
      </w:r>
    </w:p>
    <w:p w14:paraId="47A31B34"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Waste management infrastructure remains underdeveloped. Municipal waste PPPs are emerging as a solution, with integrated waste management systems needed in major cities.</w:t>
      </w:r>
    </w:p>
    <w:p w14:paraId="57577DB2"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District Heating:</w:t>
      </w:r>
      <w:r w:rsidRPr="004B194E">
        <w:rPr>
          <w:rFonts w:ascii="Times New Roman" w:hAnsi="Times New Roman" w:cs="Times New Roman"/>
          <w:color w:val="000000" w:themeColor="text1"/>
        </w:rPr>
        <w:t xml:space="preserve"> Urban district heating systems require modernization and efficiency improvements, representing PPP opportunities.</w:t>
      </w:r>
    </w:p>
    <w:p w14:paraId="527DED67"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7.5 Digital Infrastructure</w:t>
      </w:r>
    </w:p>
    <w:p w14:paraId="44097D28"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AIIB Uzbekistan Telecom Project:</w:t>
      </w:r>
      <w:r w:rsidRPr="004B194E">
        <w:rPr>
          <w:rFonts w:ascii="Times New Roman" w:hAnsi="Times New Roman" w:cs="Times New Roman"/>
          <w:color w:val="000000" w:themeColor="text1"/>
        </w:rPr>
        <w:t xml:space="preserve"> USD 100 million (2025) supporting ICT backbone expansion.</w:t>
      </w:r>
    </w:p>
    <w:p w14:paraId="3B134139"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Needs:</w:t>
      </w:r>
    </w:p>
    <w:p w14:paraId="6CB9EB71"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Fiber optic network expansion to underserved areas</w:t>
      </w:r>
    </w:p>
    <w:p w14:paraId="338A2FAF"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Data center development to support digital economy</w:t>
      </w:r>
    </w:p>
    <w:p w14:paraId="57541A20"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4G/5G mobile network deployment</w:t>
      </w:r>
    </w:p>
    <w:p w14:paraId="507B1763"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Broadband access expansion in rural areas</w:t>
      </w:r>
    </w:p>
    <w:p w14:paraId="1D3D2209"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E-Governance:</w:t>
      </w:r>
      <w:r w:rsidRPr="004B194E">
        <w:rPr>
          <w:rFonts w:ascii="Times New Roman" w:hAnsi="Times New Roman" w:cs="Times New Roman"/>
          <w:color w:val="000000" w:themeColor="text1"/>
        </w:rPr>
        <w:t xml:space="preserve"> The Digital Government Agency maintains the Open Data Portal (data.egov.uz) with PPP datasets and other government data, supporting transparency and digital governance as outlined in Development Strategy 2022-2026 Priority 1.</w:t>
      </w:r>
    </w:p>
    <w:p w14:paraId="4D4F6A6B"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7.6 Social Sector Infrastructure</w:t>
      </w:r>
    </w:p>
    <w:p w14:paraId="7AB258B8"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Health:</w:t>
      </w:r>
    </w:p>
    <w:p w14:paraId="2702807C"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Dialysis centers developed under PPP models</w:t>
      </w:r>
    </w:p>
    <w:p w14:paraId="2607CF6B"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Hospital infrastructure modernization</w:t>
      </w:r>
    </w:p>
    <w:p w14:paraId="14AD0275"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Medical equipment and technology upgrades</w:t>
      </w:r>
    </w:p>
    <w:p w14:paraId="4C43FA06"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Education:</w:t>
      </w:r>
    </w:p>
    <w:p w14:paraId="66DBA8DF"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School infrastructure PPPs</w:t>
      </w:r>
    </w:p>
    <w:p w14:paraId="13EA540C"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Vocational training facilities</w:t>
      </w:r>
    </w:p>
    <w:p w14:paraId="1FA70C74"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Educational technology integration</w:t>
      </w:r>
    </w:p>
    <w:p w14:paraId="66958B8A"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These social sector PPPs are structured to maintain public access while improving quality and efficiency through private sector management and financing.</w:t>
      </w:r>
    </w:p>
    <w:p w14:paraId="12171F54" w14:textId="77777777" w:rsidR="008E5991" w:rsidRPr="004B194E" w:rsidRDefault="008E5991" w:rsidP="0000333D">
      <w:pPr>
        <w:spacing w:before="120" w:after="120"/>
        <w:jc w:val="both"/>
        <w:rPr>
          <w:rFonts w:ascii="Times New Roman" w:hAnsi="Times New Roman" w:cs="Times New Roman"/>
          <w:color w:val="000000" w:themeColor="text1"/>
        </w:rPr>
      </w:pPr>
    </w:p>
    <w:p w14:paraId="2BA6806F" w14:textId="77777777" w:rsidR="004D213B" w:rsidRDefault="004D213B" w:rsidP="0000333D">
      <w:pPr>
        <w:pStyle w:val="Heading1"/>
        <w:jc w:val="both"/>
        <w:sectPr w:rsidR="004D213B" w:rsidSect="00034616">
          <w:pgSz w:w="12240" w:h="15840"/>
          <w:pgMar w:top="1440" w:right="1800" w:bottom="1440" w:left="1800" w:header="720" w:footer="720" w:gutter="0"/>
          <w:cols w:space="720"/>
          <w:docGrid w:linePitch="360"/>
        </w:sectPr>
      </w:pPr>
    </w:p>
    <w:p w14:paraId="1C19861A" w14:textId="77777777" w:rsidR="008E5991" w:rsidRPr="004B194E" w:rsidRDefault="00000000" w:rsidP="0000333D">
      <w:pPr>
        <w:pStyle w:val="Heading1"/>
        <w:jc w:val="both"/>
      </w:pPr>
      <w:r w:rsidRPr="004B194E">
        <w:lastRenderedPageBreak/>
        <w:t>8. PUBLIC-PRIVATE PARTNERSHIP FRAMEWORK</w:t>
      </w:r>
    </w:p>
    <w:p w14:paraId="1A3A49D9"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8.1 Legal and Institutional Framework</w:t>
      </w:r>
    </w:p>
    <w:p w14:paraId="492FB85D"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Uzbekistan has established a comprehensive PPP legal and institutional framework since 2018, positioning PPPs as a strategic instrument for infrastructure development.</w:t>
      </w:r>
    </w:p>
    <w:p w14:paraId="46C099E8"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Table 13: PPP Legal and Institutional Framework Evolution</w:t>
      </w:r>
    </w:p>
    <w:tbl>
      <w:tblPr>
        <w:tblStyle w:val="LightGrid-Accent1"/>
        <w:tblW w:w="0" w:type="auto"/>
        <w:tblLook w:val="04A0" w:firstRow="1" w:lastRow="0" w:firstColumn="1" w:lastColumn="0" w:noHBand="0" w:noVBand="1"/>
      </w:tblPr>
      <w:tblGrid>
        <w:gridCol w:w="2880"/>
        <w:gridCol w:w="2880"/>
        <w:gridCol w:w="2880"/>
      </w:tblGrid>
      <w:tr w:rsidR="004B194E" w:rsidRPr="004B194E" w14:paraId="3DE8FB64" w14:textId="77777777" w:rsidTr="008E5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DD361E"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Date</w:t>
            </w:r>
          </w:p>
        </w:tc>
        <w:tc>
          <w:tcPr>
            <w:tcW w:w="2880" w:type="dxa"/>
          </w:tcPr>
          <w:p w14:paraId="7271F8C2"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Instrument</w:t>
            </w:r>
          </w:p>
        </w:tc>
        <w:tc>
          <w:tcPr>
            <w:tcW w:w="2880" w:type="dxa"/>
          </w:tcPr>
          <w:p w14:paraId="19611ED8"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Significance</w:t>
            </w:r>
          </w:p>
        </w:tc>
      </w:tr>
      <w:tr w:rsidR="004B194E" w:rsidRPr="004B194E" w14:paraId="3F6FCC64"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010AA3"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22 October 2018</w:t>
            </w:r>
          </w:p>
        </w:tc>
        <w:tc>
          <w:tcPr>
            <w:tcW w:w="2880" w:type="dxa"/>
          </w:tcPr>
          <w:p w14:paraId="7901EAD9"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Presidential Decree PP-3980</w:t>
            </w:r>
          </w:p>
        </w:tc>
        <w:tc>
          <w:tcPr>
            <w:tcW w:w="2880" w:type="dxa"/>
          </w:tcPr>
          <w:p w14:paraId="599B8CA7"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Established PPP Development Agency under Ministry of Finance</w:t>
            </w:r>
          </w:p>
        </w:tc>
      </w:tr>
      <w:tr w:rsidR="004B194E" w:rsidRPr="004B194E" w14:paraId="5DD7DD0E"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F00FD7B"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29 April 2019</w:t>
            </w:r>
          </w:p>
        </w:tc>
        <w:tc>
          <w:tcPr>
            <w:tcW w:w="2880" w:type="dxa"/>
          </w:tcPr>
          <w:p w14:paraId="240939C4"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Presidential Decree PP-4300</w:t>
            </w:r>
          </w:p>
        </w:tc>
        <w:tc>
          <w:tcPr>
            <w:tcW w:w="2880" w:type="dxa"/>
          </w:tcPr>
          <w:p w14:paraId="10F9E521"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Launched first official PPP project list</w:t>
            </w:r>
          </w:p>
        </w:tc>
      </w:tr>
      <w:tr w:rsidR="004B194E" w:rsidRPr="004B194E" w14:paraId="0E7E4F53"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D485986"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10 May 2019</w:t>
            </w:r>
          </w:p>
        </w:tc>
        <w:tc>
          <w:tcPr>
            <w:tcW w:w="2880" w:type="dxa"/>
          </w:tcPr>
          <w:p w14:paraId="1B9F31B0"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Law No. LRU-537 "On Public-Private Partnership"</w:t>
            </w:r>
          </w:p>
        </w:tc>
        <w:tc>
          <w:tcPr>
            <w:tcW w:w="2880" w:type="dxa"/>
          </w:tcPr>
          <w:p w14:paraId="4541F5C5"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Cornerstone law defining principles, roles, mechanisms across all sectors</w:t>
            </w:r>
          </w:p>
        </w:tc>
      </w:tr>
      <w:tr w:rsidR="004B194E" w:rsidRPr="004B194E" w14:paraId="680B0B79"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B5E4F1"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2022-2026</w:t>
            </w:r>
          </w:p>
        </w:tc>
        <w:tc>
          <w:tcPr>
            <w:tcW w:w="2880" w:type="dxa"/>
          </w:tcPr>
          <w:p w14:paraId="431CB776"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Presidential Decree UP-60 (Development Strategy)</w:t>
            </w:r>
          </w:p>
        </w:tc>
        <w:tc>
          <w:tcPr>
            <w:tcW w:w="2880" w:type="dxa"/>
          </w:tcPr>
          <w:p w14:paraId="3FB6EF67"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Integrates PPPs as strategic instrument in national development framework</w:t>
            </w:r>
          </w:p>
        </w:tc>
      </w:tr>
      <w:tr w:rsidR="004B194E" w:rsidRPr="004B194E" w14:paraId="16487BEE"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AC3FE9F"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2024</w:t>
            </w:r>
          </w:p>
        </w:tc>
        <w:tc>
          <w:tcPr>
            <w:tcW w:w="2880" w:type="dxa"/>
          </w:tcPr>
          <w:p w14:paraId="1C0BCF30"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Presidential Decree PP-308</w:t>
            </w:r>
          </w:p>
        </w:tc>
        <w:tc>
          <w:tcPr>
            <w:tcW w:w="2880" w:type="dxa"/>
          </w:tcPr>
          <w:p w14:paraId="0C182B79"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Mandates development of up to 1,000 km toll highways under PPP</w:t>
            </w:r>
          </w:p>
        </w:tc>
      </w:tr>
      <w:tr w:rsidR="004B194E" w:rsidRPr="004B194E" w14:paraId="3C8B072A"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C70B0F"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2025</w:t>
            </w:r>
          </w:p>
        </w:tc>
        <w:tc>
          <w:tcPr>
            <w:tcW w:w="2880" w:type="dxa"/>
          </w:tcPr>
          <w:p w14:paraId="70004817"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Revised Law on Automobile Roads</w:t>
            </w:r>
          </w:p>
        </w:tc>
        <w:tc>
          <w:tcPr>
            <w:tcW w:w="2880" w:type="dxa"/>
          </w:tcPr>
          <w:p w14:paraId="55DA8E1E"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Integrates tolling provisions (passed first parliamentary reading)</w:t>
            </w:r>
          </w:p>
        </w:tc>
      </w:tr>
    </w:tbl>
    <w:p w14:paraId="3C9EB02C" w14:textId="77777777" w:rsidR="008E5991" w:rsidRPr="004B194E" w:rsidRDefault="008E5991" w:rsidP="0000333D">
      <w:pPr>
        <w:jc w:val="both"/>
        <w:rPr>
          <w:rFonts w:ascii="Times New Roman" w:hAnsi="Times New Roman" w:cs="Times New Roman"/>
          <w:color w:val="000000" w:themeColor="text1"/>
        </w:rPr>
      </w:pPr>
    </w:p>
    <w:p w14:paraId="2ED960A0"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Law "On Public-Private Partnership" (No. LRU-537, 10 May 2019):</w:t>
      </w:r>
    </w:p>
    <w:p w14:paraId="645CAF64"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This foundational law ensures:</w:t>
      </w:r>
    </w:p>
    <w:p w14:paraId="52C1844A"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Transparency in PPP processes</w:t>
      </w:r>
    </w:p>
    <w:p w14:paraId="64FCF97A"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Competitive tendering requirements</w:t>
      </w:r>
    </w:p>
    <w:p w14:paraId="57FB9B0E"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Equal treatment of bidders</w:t>
      </w:r>
    </w:p>
    <w:p w14:paraId="6A784AD7"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Access to international arbitration for dispute resolution</w:t>
      </w:r>
    </w:p>
    <w:p w14:paraId="23DC0362"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Clear allocation of risks and responsibilities</w:t>
      </w:r>
    </w:p>
    <w:p w14:paraId="4A7A81F2"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Sectoral applicability across all infrastructure sectors</w:t>
      </w:r>
    </w:p>
    <w:p w14:paraId="58D7F55B"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World Bank Benchmarking Infrastructure 2023:</w:t>
      </w:r>
      <w:r w:rsidRPr="004B194E">
        <w:rPr>
          <w:rFonts w:ascii="Times New Roman" w:hAnsi="Times New Roman" w:cs="Times New Roman"/>
          <w:color w:val="000000" w:themeColor="text1"/>
        </w:rPr>
        <w:t xml:space="preserve"> Details sectoral regulations covering roads, energy, urban development, and other sectors, providing comprehensive regulatory framework assessment.</w:t>
      </w:r>
    </w:p>
    <w:p w14:paraId="6FEC9918"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8.2 Institutional Roles and Responsibilities</w:t>
      </w:r>
    </w:p>
    <w:p w14:paraId="62BA2348"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Table 14: PPP Institutional Architecture</w:t>
      </w:r>
    </w:p>
    <w:tbl>
      <w:tblPr>
        <w:tblStyle w:val="LightGrid-Accent1"/>
        <w:tblW w:w="0" w:type="auto"/>
        <w:tblLook w:val="04A0" w:firstRow="1" w:lastRow="0" w:firstColumn="1" w:lastColumn="0" w:noHBand="0" w:noVBand="1"/>
      </w:tblPr>
      <w:tblGrid>
        <w:gridCol w:w="4320"/>
        <w:gridCol w:w="4320"/>
      </w:tblGrid>
      <w:tr w:rsidR="004B194E" w:rsidRPr="004B194E" w14:paraId="3B266E4F" w14:textId="77777777" w:rsidTr="008E5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9E85AD9"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lastRenderedPageBreak/>
              <w:t>Institution</w:t>
            </w:r>
          </w:p>
        </w:tc>
        <w:tc>
          <w:tcPr>
            <w:tcW w:w="4320" w:type="dxa"/>
          </w:tcPr>
          <w:p w14:paraId="01F1FA92"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Roles and Responsibilities</w:t>
            </w:r>
          </w:p>
        </w:tc>
      </w:tr>
      <w:tr w:rsidR="004B194E" w:rsidRPr="004B194E" w14:paraId="07436991"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C629A2D"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**PPP Development Agency**</w:t>
            </w:r>
          </w:p>
        </w:tc>
        <w:tc>
          <w:tcPr>
            <w:tcW w:w="4320" w:type="dxa"/>
          </w:tcPr>
          <w:p w14:paraId="7DC19A25"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Established by Decree PP-3980 (2018), housed under Ministry of Finance. Supervises and approves PPP concepts &gt;USD 10 million; reviews documentation; maintains official PPP registry; provides guidance and oversight</w:t>
            </w:r>
          </w:p>
        </w:tc>
      </w:tr>
      <w:tr w:rsidR="004B194E" w:rsidRPr="004B194E" w14:paraId="7A090B5E"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0359759"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**Fiscal Risk Assessment Department (FRAD)**</w:t>
            </w:r>
          </w:p>
        </w:tc>
        <w:tc>
          <w:tcPr>
            <w:tcW w:w="4320" w:type="dxa"/>
          </w:tcPr>
          <w:p w14:paraId="62FC0999"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Housed in Ministry of Economy and Finance. Estimates explicit and implicit fiscal obligations from PPPs; assesses fiscal risks; supports debt sustainability</w:t>
            </w:r>
          </w:p>
        </w:tc>
      </w:tr>
      <w:tr w:rsidR="004B194E" w:rsidRPr="004B194E" w14:paraId="68E676DE"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061EB7"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**Ministry of Finance**</w:t>
            </w:r>
          </w:p>
        </w:tc>
        <w:tc>
          <w:tcPr>
            <w:tcW w:w="4320" w:type="dxa"/>
          </w:tcPr>
          <w:p w14:paraId="2DD53F34"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Overall PPP Agency supervision; fiscal policy; public investment management; ensuring fiscal sustainability</w:t>
            </w:r>
          </w:p>
        </w:tc>
      </w:tr>
      <w:tr w:rsidR="004B194E" w:rsidRPr="004B194E" w14:paraId="39C67CA1"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C6B1FB4"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**Ministry of Economy and Finance**</w:t>
            </w:r>
          </w:p>
        </w:tc>
        <w:tc>
          <w:tcPr>
            <w:tcW w:w="4320" w:type="dxa"/>
          </w:tcPr>
          <w:p w14:paraId="64AC1C4C"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Economic policy coordination; FRAD operations; PPP fiscal risk assessment</w:t>
            </w:r>
          </w:p>
        </w:tc>
      </w:tr>
      <w:tr w:rsidR="004B194E" w:rsidRPr="004B194E" w14:paraId="138856C2"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EA81158"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**Ministry of Investment, Industry and Trade (MIIT)**</w:t>
            </w:r>
          </w:p>
        </w:tc>
        <w:tc>
          <w:tcPr>
            <w:tcW w:w="4320" w:type="dxa"/>
          </w:tcPr>
          <w:p w14:paraId="60AE232D"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Investment promotion; PPP implementation oversight; maintains PPP Project Portal (https://invest.gov.uz/) with project information</w:t>
            </w:r>
          </w:p>
        </w:tc>
      </w:tr>
      <w:tr w:rsidR="004B194E" w:rsidRPr="004B194E" w14:paraId="075FEC2C"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75090B"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**Line Ministries**</w:t>
            </w:r>
          </w:p>
        </w:tc>
        <w:tc>
          <w:tcPr>
            <w:tcW w:w="4320" w:type="dxa"/>
          </w:tcPr>
          <w:p w14:paraId="54E8F084"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Sector PPP development: Transport, Energy, Water Resources, Health, Education, etc.</w:t>
            </w:r>
          </w:p>
        </w:tc>
      </w:tr>
      <w:tr w:rsidR="004B194E" w:rsidRPr="004B194E" w14:paraId="4E3233F0"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5F3FCE6"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**Central Bank of Uzbekistan (CBU)**</w:t>
            </w:r>
          </w:p>
        </w:tc>
        <w:tc>
          <w:tcPr>
            <w:tcW w:w="4320" w:type="dxa"/>
          </w:tcPr>
          <w:p w14:paraId="7C39BDC5"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Monetary policy; financial regulation; FX management for PPP transactions</w:t>
            </w:r>
          </w:p>
        </w:tc>
      </w:tr>
      <w:tr w:rsidR="004B194E" w:rsidRPr="004B194E" w14:paraId="3DA2AB97"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FF6450"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**Digital Government Agency**</w:t>
            </w:r>
          </w:p>
        </w:tc>
        <w:tc>
          <w:tcPr>
            <w:tcW w:w="4320" w:type="dxa"/>
          </w:tcPr>
          <w:p w14:paraId="3EB84101"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E-governance; maintains Open Data Portal (data.egov.uz) with PPP datasets</w:t>
            </w:r>
          </w:p>
        </w:tc>
      </w:tr>
      <w:tr w:rsidR="004B194E" w:rsidRPr="004B194E" w14:paraId="1043148D"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49D8CBC"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**State Assets Management Agency**</w:t>
            </w:r>
          </w:p>
        </w:tc>
        <w:tc>
          <w:tcPr>
            <w:tcW w:w="4320" w:type="dxa"/>
          </w:tcPr>
          <w:p w14:paraId="4B2CC9B5"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SOE governance; privatization processes; asset management</w:t>
            </w:r>
          </w:p>
        </w:tc>
      </w:tr>
      <w:tr w:rsidR="004B194E" w:rsidRPr="004B194E" w14:paraId="3C02C021"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87818FF"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**Cabinet of Ministers**</w:t>
            </w:r>
          </w:p>
        </w:tc>
        <w:tc>
          <w:tcPr>
            <w:tcW w:w="4320" w:type="dxa"/>
          </w:tcPr>
          <w:p w14:paraId="3263DC2F"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Strategic approvals for major projects; tax regime approvals for major investors</w:t>
            </w:r>
          </w:p>
        </w:tc>
      </w:tr>
      <w:tr w:rsidR="004B194E" w:rsidRPr="004B194E" w14:paraId="7B89F2BF"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0918FA6"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**Parliament**</w:t>
            </w:r>
          </w:p>
        </w:tc>
        <w:tc>
          <w:tcPr>
            <w:tcW w:w="4320" w:type="dxa"/>
          </w:tcPr>
          <w:p w14:paraId="7B40AF17"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Major decisions on PPP frameworks and strategic initiatives</w:t>
            </w:r>
          </w:p>
        </w:tc>
      </w:tr>
    </w:tbl>
    <w:p w14:paraId="76329114" w14:textId="77777777" w:rsidR="008E5991" w:rsidRPr="004B194E" w:rsidRDefault="008E5991" w:rsidP="0000333D">
      <w:pPr>
        <w:jc w:val="both"/>
        <w:rPr>
          <w:rFonts w:ascii="Times New Roman" w:hAnsi="Times New Roman" w:cs="Times New Roman"/>
          <w:color w:val="000000" w:themeColor="text1"/>
        </w:rPr>
      </w:pPr>
    </w:p>
    <w:p w14:paraId="0CF4AAAC"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8.3 PPP Approval and Procurement Workflow</w:t>
      </w:r>
    </w:p>
    <w:p w14:paraId="21444C72"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Approval Process:</w:t>
      </w:r>
    </w:p>
    <w:p w14:paraId="54358196"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1. </w:t>
      </w:r>
      <w:r w:rsidRPr="004B194E">
        <w:rPr>
          <w:rFonts w:ascii="Times New Roman" w:hAnsi="Times New Roman" w:cs="Times New Roman"/>
          <w:b/>
          <w:color w:val="000000" w:themeColor="text1"/>
        </w:rPr>
        <w:t>Concept Development:</w:t>
      </w:r>
      <w:r w:rsidRPr="004B194E">
        <w:rPr>
          <w:rFonts w:ascii="Times New Roman" w:hAnsi="Times New Roman" w:cs="Times New Roman"/>
          <w:color w:val="000000" w:themeColor="text1"/>
        </w:rPr>
        <w:t xml:space="preserve"> Line ministries develop sector project concepts</w:t>
      </w:r>
    </w:p>
    <w:p w14:paraId="23B93EF8"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2. </w:t>
      </w:r>
      <w:r w:rsidRPr="004B194E">
        <w:rPr>
          <w:rFonts w:ascii="Times New Roman" w:hAnsi="Times New Roman" w:cs="Times New Roman"/>
          <w:b/>
          <w:color w:val="000000" w:themeColor="text1"/>
        </w:rPr>
        <w:t>PPP Agency Review:</w:t>
      </w:r>
      <w:r w:rsidRPr="004B194E">
        <w:rPr>
          <w:rFonts w:ascii="Times New Roman" w:hAnsi="Times New Roman" w:cs="Times New Roman"/>
          <w:color w:val="000000" w:themeColor="text1"/>
        </w:rPr>
        <w:t xml:space="preserve"> Projects &gt;USD 10 million submitted to PPP Agency for concept approval</w:t>
      </w:r>
    </w:p>
    <w:p w14:paraId="14B18404"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3. </w:t>
      </w:r>
      <w:r w:rsidRPr="004B194E">
        <w:rPr>
          <w:rFonts w:ascii="Times New Roman" w:hAnsi="Times New Roman" w:cs="Times New Roman"/>
          <w:b/>
          <w:color w:val="000000" w:themeColor="text1"/>
        </w:rPr>
        <w:t>FRAD Assessment:</w:t>
      </w:r>
      <w:r w:rsidRPr="004B194E">
        <w:rPr>
          <w:rFonts w:ascii="Times New Roman" w:hAnsi="Times New Roman" w:cs="Times New Roman"/>
          <w:color w:val="000000" w:themeColor="text1"/>
        </w:rPr>
        <w:t xml:space="preserve"> Fiscal Risk Assessment Department estimates fiscal obligations</w:t>
      </w:r>
    </w:p>
    <w:p w14:paraId="792251B6"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4. </w:t>
      </w:r>
      <w:r w:rsidRPr="004B194E">
        <w:rPr>
          <w:rFonts w:ascii="Times New Roman" w:hAnsi="Times New Roman" w:cs="Times New Roman"/>
          <w:b/>
          <w:color w:val="000000" w:themeColor="text1"/>
        </w:rPr>
        <w:t>Feasibility Study:</w:t>
      </w:r>
      <w:r w:rsidRPr="004B194E">
        <w:rPr>
          <w:rFonts w:ascii="Times New Roman" w:hAnsi="Times New Roman" w:cs="Times New Roman"/>
          <w:color w:val="000000" w:themeColor="text1"/>
        </w:rPr>
        <w:t xml:space="preserve"> Detailed feasibility using PPP Project Development Facility (UPDF) funding if needed</w:t>
      </w:r>
    </w:p>
    <w:p w14:paraId="34A59F2A"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lastRenderedPageBreak/>
        <w:t xml:space="preserve">5. </w:t>
      </w:r>
      <w:r w:rsidRPr="004B194E">
        <w:rPr>
          <w:rFonts w:ascii="Times New Roman" w:hAnsi="Times New Roman" w:cs="Times New Roman"/>
          <w:b/>
          <w:color w:val="000000" w:themeColor="text1"/>
        </w:rPr>
        <w:t>Cabinet Approval:</w:t>
      </w:r>
      <w:r w:rsidRPr="004B194E">
        <w:rPr>
          <w:rFonts w:ascii="Times New Roman" w:hAnsi="Times New Roman" w:cs="Times New Roman"/>
          <w:color w:val="000000" w:themeColor="text1"/>
        </w:rPr>
        <w:t xml:space="preserve"> Major projects require Cabinet of Ministers approval</w:t>
      </w:r>
    </w:p>
    <w:p w14:paraId="50D7E566"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6. </w:t>
      </w:r>
      <w:r w:rsidRPr="004B194E">
        <w:rPr>
          <w:rFonts w:ascii="Times New Roman" w:hAnsi="Times New Roman" w:cs="Times New Roman"/>
          <w:b/>
          <w:color w:val="000000" w:themeColor="text1"/>
        </w:rPr>
        <w:t>Presidential Decree:</w:t>
      </w:r>
      <w:r w:rsidRPr="004B194E">
        <w:rPr>
          <w:rFonts w:ascii="Times New Roman" w:hAnsi="Times New Roman" w:cs="Times New Roman"/>
          <w:color w:val="000000" w:themeColor="text1"/>
        </w:rPr>
        <w:t xml:space="preserve"> Strategic initiatives may require Presidential Decree</w:t>
      </w:r>
    </w:p>
    <w:p w14:paraId="05885D6A"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7. </w:t>
      </w:r>
      <w:r w:rsidRPr="004B194E">
        <w:rPr>
          <w:rFonts w:ascii="Times New Roman" w:hAnsi="Times New Roman" w:cs="Times New Roman"/>
          <w:b/>
          <w:color w:val="000000" w:themeColor="text1"/>
        </w:rPr>
        <w:t>Competitive Tendering:</w:t>
      </w:r>
      <w:r w:rsidRPr="004B194E">
        <w:rPr>
          <w:rFonts w:ascii="Times New Roman" w:hAnsi="Times New Roman" w:cs="Times New Roman"/>
          <w:color w:val="000000" w:themeColor="text1"/>
        </w:rPr>
        <w:t xml:space="preserve"> Transparent competitive procurement process</w:t>
      </w:r>
    </w:p>
    <w:p w14:paraId="5B745970"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8. </w:t>
      </w:r>
      <w:r w:rsidRPr="004B194E">
        <w:rPr>
          <w:rFonts w:ascii="Times New Roman" w:hAnsi="Times New Roman" w:cs="Times New Roman"/>
          <w:b/>
          <w:color w:val="000000" w:themeColor="text1"/>
        </w:rPr>
        <w:t>Contract Award:</w:t>
      </w:r>
      <w:r w:rsidRPr="004B194E">
        <w:rPr>
          <w:rFonts w:ascii="Times New Roman" w:hAnsi="Times New Roman" w:cs="Times New Roman"/>
          <w:color w:val="000000" w:themeColor="text1"/>
        </w:rPr>
        <w:t xml:space="preserve"> Following evaluation and negotiation</w:t>
      </w:r>
    </w:p>
    <w:p w14:paraId="199804CB"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9. </w:t>
      </w:r>
      <w:r w:rsidRPr="004B194E">
        <w:rPr>
          <w:rFonts w:ascii="Times New Roman" w:hAnsi="Times New Roman" w:cs="Times New Roman"/>
          <w:b/>
          <w:color w:val="000000" w:themeColor="text1"/>
        </w:rPr>
        <w:t>Financial Close:</w:t>
      </w:r>
      <w:r w:rsidRPr="004B194E">
        <w:rPr>
          <w:rFonts w:ascii="Times New Roman" w:hAnsi="Times New Roman" w:cs="Times New Roman"/>
          <w:color w:val="000000" w:themeColor="text1"/>
        </w:rPr>
        <w:t xml:space="preserve"> Achieving bankable financing structure</w:t>
      </w:r>
    </w:p>
    <w:p w14:paraId="77FC90D2"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10. </w:t>
      </w:r>
      <w:r w:rsidRPr="004B194E">
        <w:rPr>
          <w:rFonts w:ascii="Times New Roman" w:hAnsi="Times New Roman" w:cs="Times New Roman"/>
          <w:b/>
          <w:color w:val="000000" w:themeColor="text1"/>
        </w:rPr>
        <w:t>Implementation:</w:t>
      </w:r>
      <w:r w:rsidRPr="004B194E">
        <w:rPr>
          <w:rFonts w:ascii="Times New Roman" w:hAnsi="Times New Roman" w:cs="Times New Roman"/>
          <w:color w:val="000000" w:themeColor="text1"/>
        </w:rPr>
        <w:t xml:space="preserve"> Construction/operation under concession agreement</w:t>
      </w:r>
    </w:p>
    <w:p w14:paraId="2F4CC785"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Fiscal Risk Management:</w:t>
      </w:r>
    </w:p>
    <w:p w14:paraId="2F8EFD47"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The government caps annual PPP budget commitments to prevent excessive accumulation of contingent liabilities, recognizing the substantial PPP portfolio (27% of GDP with potential up to 34%).</w:t>
      </w:r>
    </w:p>
    <w:p w14:paraId="1B975CF8"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PPP Project Development Facility (UPDF):</w:t>
      </w:r>
    </w:p>
    <w:p w14:paraId="18D65736"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Created to fund early-stage feasibility studies and transaction support. EBRD approved EUR 10 million contribution to UPDF, supporting project preparation and enabling bankable PPP transactions.</w:t>
      </w:r>
    </w:p>
    <w:p w14:paraId="71DC602C"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8.4 PPP Portfolio Scale and Composition</w:t>
      </w:r>
    </w:p>
    <w:p w14:paraId="2E62629C"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Table 15: PPP Portfolio Overview</w:t>
      </w:r>
    </w:p>
    <w:tbl>
      <w:tblPr>
        <w:tblStyle w:val="LightGrid-Accent1"/>
        <w:tblW w:w="0" w:type="auto"/>
        <w:tblLook w:val="04A0" w:firstRow="1" w:lastRow="0" w:firstColumn="1" w:lastColumn="0" w:noHBand="0" w:noVBand="1"/>
      </w:tblPr>
      <w:tblGrid>
        <w:gridCol w:w="2880"/>
        <w:gridCol w:w="2880"/>
        <w:gridCol w:w="2880"/>
      </w:tblGrid>
      <w:tr w:rsidR="004B194E" w:rsidRPr="004B194E" w14:paraId="496DC3D1" w14:textId="77777777" w:rsidTr="008E5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6DC06F"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Metric</w:t>
            </w:r>
          </w:p>
        </w:tc>
        <w:tc>
          <w:tcPr>
            <w:tcW w:w="2880" w:type="dxa"/>
          </w:tcPr>
          <w:p w14:paraId="007C19ED"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Value</w:t>
            </w:r>
          </w:p>
        </w:tc>
        <w:tc>
          <w:tcPr>
            <w:tcW w:w="2880" w:type="dxa"/>
          </w:tcPr>
          <w:p w14:paraId="33FB4408"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Context</w:t>
            </w:r>
          </w:p>
        </w:tc>
      </w:tr>
      <w:tr w:rsidR="004B194E" w:rsidRPr="004B194E" w14:paraId="1C034DD5"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2FE1743"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**Total Portfolio (End-</w:t>
            </w:r>
            <w:proofErr w:type="gramStart"/>
            <w:r w:rsidRPr="004B194E">
              <w:rPr>
                <w:rFonts w:ascii="Times New Roman" w:hAnsi="Times New Roman" w:cs="Times New Roman"/>
                <w:color w:val="000000" w:themeColor="text1"/>
              </w:rPr>
              <w:t>2024)*</w:t>
            </w:r>
            <w:proofErr w:type="gramEnd"/>
            <w:r w:rsidRPr="004B194E">
              <w:rPr>
                <w:rFonts w:ascii="Times New Roman" w:hAnsi="Times New Roman" w:cs="Times New Roman"/>
                <w:color w:val="000000" w:themeColor="text1"/>
              </w:rPr>
              <w:t>*</w:t>
            </w:r>
          </w:p>
        </w:tc>
        <w:tc>
          <w:tcPr>
            <w:tcW w:w="2880" w:type="dxa"/>
          </w:tcPr>
          <w:p w14:paraId="38CF178B"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~USD 31 billion</w:t>
            </w:r>
          </w:p>
        </w:tc>
        <w:tc>
          <w:tcPr>
            <w:tcW w:w="2880" w:type="dxa"/>
          </w:tcPr>
          <w:p w14:paraId="7BC6FDCB"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Approximately 27% of 2024 GDP</w:t>
            </w:r>
          </w:p>
        </w:tc>
      </w:tr>
      <w:tr w:rsidR="004B194E" w:rsidRPr="004B194E" w14:paraId="406A821B"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CDAC3C"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**Potential Commitments (2025-</w:t>
            </w:r>
            <w:proofErr w:type="gramStart"/>
            <w:r w:rsidRPr="004B194E">
              <w:rPr>
                <w:rFonts w:ascii="Times New Roman" w:hAnsi="Times New Roman" w:cs="Times New Roman"/>
                <w:color w:val="000000" w:themeColor="text1"/>
              </w:rPr>
              <w:t>2030)*</w:t>
            </w:r>
            <w:proofErr w:type="gramEnd"/>
            <w:r w:rsidRPr="004B194E">
              <w:rPr>
                <w:rFonts w:ascii="Times New Roman" w:hAnsi="Times New Roman" w:cs="Times New Roman"/>
                <w:color w:val="000000" w:themeColor="text1"/>
              </w:rPr>
              <w:t>*</w:t>
            </w:r>
          </w:p>
        </w:tc>
        <w:tc>
          <w:tcPr>
            <w:tcW w:w="2880" w:type="dxa"/>
          </w:tcPr>
          <w:p w14:paraId="7E555B0D"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Up to 34% of GDP</w:t>
            </w:r>
          </w:p>
        </w:tc>
        <w:tc>
          <w:tcPr>
            <w:tcW w:w="2880" w:type="dxa"/>
          </w:tcPr>
          <w:p w14:paraId="2B92F916"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~USD 40 billion equivalent based on 2024 GDP</w:t>
            </w:r>
          </w:p>
        </w:tc>
      </w:tr>
      <w:tr w:rsidR="004B194E" w:rsidRPr="004B194E" w14:paraId="4D72C9D3"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0E19BA"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**2023 New PPPs**</w:t>
            </w:r>
          </w:p>
        </w:tc>
        <w:tc>
          <w:tcPr>
            <w:tcW w:w="2880" w:type="dxa"/>
          </w:tcPr>
          <w:p w14:paraId="24FDDF32"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6 projects, USD 1.6 billion</w:t>
            </w:r>
          </w:p>
        </w:tc>
        <w:tc>
          <w:tcPr>
            <w:tcW w:w="2880" w:type="dxa"/>
          </w:tcPr>
          <w:p w14:paraId="3A6846D9"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Representing 40% of new PPP commitments in EBRD's ECA region among Lower Middle-Income Countries</w:t>
            </w:r>
          </w:p>
        </w:tc>
      </w:tr>
      <w:tr w:rsidR="004B194E" w:rsidRPr="004B194E" w14:paraId="1B06A31A"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B57912"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**Sectoral Distribution (Through </w:t>
            </w:r>
            <w:proofErr w:type="gramStart"/>
            <w:r w:rsidRPr="004B194E">
              <w:rPr>
                <w:rFonts w:ascii="Times New Roman" w:hAnsi="Times New Roman" w:cs="Times New Roman"/>
                <w:color w:val="000000" w:themeColor="text1"/>
              </w:rPr>
              <w:t>2024)*</w:t>
            </w:r>
            <w:proofErr w:type="gramEnd"/>
            <w:r w:rsidRPr="004B194E">
              <w:rPr>
                <w:rFonts w:ascii="Times New Roman" w:hAnsi="Times New Roman" w:cs="Times New Roman"/>
                <w:color w:val="000000" w:themeColor="text1"/>
              </w:rPr>
              <w:t>*</w:t>
            </w:r>
          </w:p>
        </w:tc>
        <w:tc>
          <w:tcPr>
            <w:tcW w:w="2880" w:type="dxa"/>
          </w:tcPr>
          <w:p w14:paraId="17F28414"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Energy &gt;90% by value</w:t>
            </w:r>
          </w:p>
        </w:tc>
        <w:tc>
          <w:tcPr>
            <w:tcW w:w="2880" w:type="dxa"/>
          </w:tcPr>
          <w:p w14:paraId="4DC1B341"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Portfolio diversifying to transport, utilities, social, digital</w:t>
            </w:r>
          </w:p>
        </w:tc>
      </w:tr>
    </w:tbl>
    <w:p w14:paraId="68ABD1CB" w14:textId="77777777" w:rsidR="008E5991" w:rsidRPr="004B194E" w:rsidRDefault="008E5991" w:rsidP="0000333D">
      <w:pPr>
        <w:jc w:val="both"/>
        <w:rPr>
          <w:rFonts w:ascii="Times New Roman" w:hAnsi="Times New Roman" w:cs="Times New Roman"/>
          <w:color w:val="000000" w:themeColor="text1"/>
        </w:rPr>
      </w:pPr>
    </w:p>
    <w:p w14:paraId="229C3F2D"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Sectoral Pipeline:</w:t>
      </w:r>
    </w:p>
    <w:p w14:paraId="5F306070"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Energy:</w:t>
      </w:r>
      <w:r w:rsidRPr="004B194E">
        <w:rPr>
          <w:rFonts w:ascii="Times New Roman" w:hAnsi="Times New Roman" w:cs="Times New Roman"/>
          <w:color w:val="000000" w:themeColor="text1"/>
        </w:rPr>
        <w:t xml:space="preserve"> Largest sector by value through 2024</w:t>
      </w:r>
    </w:p>
    <w:p w14:paraId="5DF08047"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Renewable energy (solar PV, wind power)</w:t>
      </w:r>
    </w:p>
    <w:p w14:paraId="6E760A98"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Power generation (Talimarjan TPP privatization)</w:t>
      </w:r>
    </w:p>
    <w:p w14:paraId="41814B26"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Transmission and distribution</w:t>
      </w:r>
    </w:p>
    <w:p w14:paraId="182CDA3B"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Transport:</w:t>
      </w:r>
      <w:r w:rsidRPr="004B194E">
        <w:rPr>
          <w:rFonts w:ascii="Times New Roman" w:hAnsi="Times New Roman" w:cs="Times New Roman"/>
          <w:color w:val="000000" w:themeColor="text1"/>
        </w:rPr>
        <w:t xml:space="preserve"> Rapidly growing sector</w:t>
      </w:r>
    </w:p>
    <w:p w14:paraId="0BBCD2B8"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Tashkent-Andijan toll road (USD 4.3bn)</w:t>
      </w:r>
    </w:p>
    <w:p w14:paraId="65EC82AE"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lastRenderedPageBreak/>
        <w:t>Tashkent-Samarkand toll road (USD 2.2bn)</w:t>
      </w:r>
    </w:p>
    <w:p w14:paraId="3D5E4300"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Up to 1,000 km toll highways planned under PP-308 (2024)</w:t>
      </w:r>
    </w:p>
    <w:p w14:paraId="643D1F27"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China-Kyrgyzstan-Uzbekistan railway</w:t>
      </w:r>
    </w:p>
    <w:p w14:paraId="17E1184D"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Urban Services:</w:t>
      </w:r>
    </w:p>
    <w:p w14:paraId="316E027D"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Water supply and sanitation</w:t>
      </w:r>
    </w:p>
    <w:p w14:paraId="646237F2"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Waste management</w:t>
      </w:r>
    </w:p>
    <w:p w14:paraId="27092425"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District heating</w:t>
      </w:r>
    </w:p>
    <w:p w14:paraId="24BC6221"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Urban transport</w:t>
      </w:r>
    </w:p>
    <w:p w14:paraId="6A0D58CA"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Social Sectors:</w:t>
      </w:r>
    </w:p>
    <w:p w14:paraId="1D141E31"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Dialysis centers</w:t>
      </w:r>
    </w:p>
    <w:p w14:paraId="27D70B5A"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School infrastructure</w:t>
      </w:r>
    </w:p>
    <w:p w14:paraId="7FDB5575"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Hospital facilities</w:t>
      </w:r>
    </w:p>
    <w:p w14:paraId="1C6A5A93"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Digital Infrastructure:</w:t>
      </w:r>
    </w:p>
    <w:p w14:paraId="372170A0"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ICT backbone (AIIB USD 100m Uzbekistan Telecom)</w:t>
      </w:r>
    </w:p>
    <w:p w14:paraId="18EA7EF2"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Fiber networks</w:t>
      </w:r>
    </w:p>
    <w:p w14:paraId="7714D510"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Data centers</w:t>
      </w:r>
    </w:p>
    <w:p w14:paraId="753ECE21"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8.5 Project Stage Distribution</w:t>
      </w:r>
    </w:p>
    <w:p w14:paraId="0576C9FE"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The PPP pipeline comprises projects at various stages:</w:t>
      </w:r>
    </w:p>
    <w:p w14:paraId="392FCE72"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Operational:</w:t>
      </w:r>
    </w:p>
    <w:p w14:paraId="7A0FB597"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Solar PV plants (200MW Navoi and Samarkand)</w:t>
      </w:r>
    </w:p>
    <w:p w14:paraId="47B65B50"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Various energy projects</w:t>
      </w:r>
    </w:p>
    <w:p w14:paraId="39D9F6D6"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Initial urban services projects</w:t>
      </w:r>
    </w:p>
    <w:p w14:paraId="79DF435C"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Under Construction:</w:t>
      </w:r>
    </w:p>
    <w:p w14:paraId="0528158A"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500MW wind power plant (Navoi)</w:t>
      </w:r>
    </w:p>
    <w:p w14:paraId="6DCEFF02"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China-Kyrgyzstan-Uzbekistan railway</w:t>
      </w:r>
    </w:p>
    <w:p w14:paraId="3919F28D"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Various water infrastructure projects</w:t>
      </w:r>
    </w:p>
    <w:p w14:paraId="337AEAC2"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Procurement Stage:</w:t>
      </w:r>
    </w:p>
    <w:p w14:paraId="0D8CDEA9"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Tashkent-Andijan toll road (RFQ stage early 2025, &gt;30 international companies expressed interest)</w:t>
      </w:r>
    </w:p>
    <w:p w14:paraId="7046A620"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Tashkent-Samarkand toll road (tender launch planned 2025)</w:t>
      </w:r>
    </w:p>
    <w:p w14:paraId="61600452"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Planning/Feasibility:</w:t>
      </w:r>
    </w:p>
    <w:p w14:paraId="3B92B0CE"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Multiple projects supported by UPDF for early-stage development</w:t>
      </w:r>
    </w:p>
    <w:p w14:paraId="0595A1B6"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Toll highway program (up to 1,000 km under PP-308)</w:t>
      </w:r>
    </w:p>
    <w:p w14:paraId="5869728C"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Additional renewable energy projects</w:t>
      </w:r>
    </w:p>
    <w:p w14:paraId="605C3DDF"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Social sector PPPs</w:t>
      </w:r>
    </w:p>
    <w:p w14:paraId="4DBE8C1F"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lastRenderedPageBreak/>
        <w:t>8.6 Tariff Frameworks and Revenue Models</w:t>
      </w:r>
    </w:p>
    <w:p w14:paraId="2212619F"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Toll Roads:</w:t>
      </w:r>
    </w:p>
    <w:p w14:paraId="3637DADE"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Presidential Decree PP-308 (2024) mandates development ensuring long-term financial viability through toll revenue models. The revised Law on Automobile Roads (2025) integrates tolling provisions. Tariff indexation provisions included in PPP contracts on project-specific basis, typically linked to inflation/costs.</w:t>
      </w:r>
    </w:p>
    <w:p w14:paraId="17D442C7"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Energy Sector:</w:t>
      </w:r>
    </w:p>
    <w:p w14:paraId="451294C0"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Power Purchase Agreements (PPAs) provide revenue certainty. Example: Talimarjan TPP has 25-year PPA with JSC Uzenergosotish (national offtaker) ensuring cost recovery. Energy tariff reforms ongoing (May 2024 energy price adjustment), gradually moving toward cost recovery while managing affordability concerns.</w:t>
      </w:r>
    </w:p>
    <w:p w14:paraId="74E15606"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Water and Sanitation:</w:t>
      </w:r>
    </w:p>
    <w:p w14:paraId="03AE20F0"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Tariff frameworks designed with subsidy mechanisms where needed to ensure affordability while enabling cost recovery for private operators.</w:t>
      </w:r>
    </w:p>
    <w:p w14:paraId="4A325B4C"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Social Sectors:</w:t>
      </w:r>
    </w:p>
    <w:p w14:paraId="08E550B9"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Health and education PPPs structured to maintain public access while improving quality, with government availability payments or similar mechanisms supporting financial viability.</w:t>
      </w:r>
    </w:p>
    <w:p w14:paraId="60568213"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8.7 Dispute Resolution and Legal Protections</w:t>
      </w:r>
    </w:p>
    <w:p w14:paraId="71C90DEF"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International Arbitration:</w:t>
      </w:r>
      <w:r w:rsidRPr="004B194E">
        <w:rPr>
          <w:rFonts w:ascii="Times New Roman" w:hAnsi="Times New Roman" w:cs="Times New Roman"/>
          <w:color w:val="000000" w:themeColor="text1"/>
        </w:rPr>
        <w:t xml:space="preserve"> PPP framework includes access to international arbitration, providing strong investor protections.</w:t>
      </w:r>
    </w:p>
    <w:p w14:paraId="49286D67"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Judicial Reforms:</w:t>
      </w:r>
      <w:r w:rsidRPr="004B194E">
        <w:rPr>
          <w:rFonts w:ascii="Times New Roman" w:hAnsi="Times New Roman" w:cs="Times New Roman"/>
          <w:color w:val="000000" w:themeColor="text1"/>
        </w:rPr>
        <w:t xml:space="preserve"> Development Strategy 2022-2026 Priority 2 aims to reinforce judicial independence and efficiency, protect citizens' and investors' rights, and increase transparency. Stronger legal guarantees for investors include international arbitration access and clearer dispute resolution procedures within PPP contracts.</w:t>
      </w:r>
    </w:p>
    <w:p w14:paraId="2EF9F1B2"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Contract Enforcement:</w:t>
      </w:r>
      <w:r w:rsidRPr="004B194E">
        <w:rPr>
          <w:rFonts w:ascii="Times New Roman" w:hAnsi="Times New Roman" w:cs="Times New Roman"/>
          <w:color w:val="000000" w:themeColor="text1"/>
        </w:rPr>
        <w:t xml:space="preserve"> Frameworks improving through judicial system reforms to enhance independence, transparency, and efficiency. However, judicial independence still requires further strengthening.</w:t>
      </w:r>
    </w:p>
    <w:p w14:paraId="45B9F502"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8.8 Fiscal Incentives for PPPs</w:t>
      </w:r>
    </w:p>
    <w:p w14:paraId="09F9222D"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Tax Stability Guarantees:</w:t>
      </w:r>
      <w:r w:rsidRPr="004B194E">
        <w:rPr>
          <w:rFonts w:ascii="Times New Roman" w:hAnsi="Times New Roman" w:cs="Times New Roman"/>
          <w:color w:val="000000" w:themeColor="text1"/>
        </w:rPr>
        <w:t xml:space="preserve"> Up to 10 years for strategic investors, protecting against adverse tax changes.</w:t>
      </w:r>
    </w:p>
    <w:p w14:paraId="35A0C0A9"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Customized Tax Regimes:</w:t>
      </w:r>
      <w:r w:rsidRPr="004B194E">
        <w:rPr>
          <w:rFonts w:ascii="Times New Roman" w:hAnsi="Times New Roman" w:cs="Times New Roman"/>
          <w:color w:val="000000" w:themeColor="text1"/>
        </w:rPr>
        <w:t xml:space="preserve"> PPP and Production Sharing Agreement (PSA) contracts can have customized tax regimes approved by Cabinet of Ministers.</w:t>
      </w:r>
    </w:p>
    <w:p w14:paraId="730BE297"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Duty Exemptions:</w:t>
      </w:r>
      <w:r w:rsidRPr="004B194E">
        <w:rPr>
          <w:rFonts w:ascii="Times New Roman" w:hAnsi="Times New Roman" w:cs="Times New Roman"/>
          <w:color w:val="000000" w:themeColor="text1"/>
        </w:rPr>
        <w:t xml:space="preserve"> Equipment and materials for investment and PPP projects can receive customs duty exemptions.</w:t>
      </w:r>
    </w:p>
    <w:p w14:paraId="2A00BAD6"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Tax Code:</w:t>
      </w:r>
      <w:r w:rsidRPr="004B194E">
        <w:rPr>
          <w:rFonts w:ascii="Times New Roman" w:hAnsi="Times New Roman" w:cs="Times New Roman"/>
          <w:color w:val="000000" w:themeColor="text1"/>
        </w:rPr>
        <w:t xml:space="preserve"> Effective 2020, modernizing tax framework with more competitive rates (corporate tax reduced from 20% to 15%).</w:t>
      </w:r>
    </w:p>
    <w:p w14:paraId="790C6082" w14:textId="77777777" w:rsidR="008E5991" w:rsidRPr="004B194E" w:rsidRDefault="008E5991" w:rsidP="0000333D">
      <w:pPr>
        <w:spacing w:before="120" w:after="120"/>
        <w:jc w:val="both"/>
        <w:rPr>
          <w:rFonts w:ascii="Times New Roman" w:hAnsi="Times New Roman" w:cs="Times New Roman"/>
          <w:color w:val="000000" w:themeColor="text1"/>
        </w:rPr>
      </w:pPr>
    </w:p>
    <w:p w14:paraId="2D99F4F9" w14:textId="77777777" w:rsidR="004D213B" w:rsidRDefault="004D213B" w:rsidP="0000333D">
      <w:pPr>
        <w:pStyle w:val="Heading1"/>
        <w:jc w:val="both"/>
        <w:sectPr w:rsidR="004D213B" w:rsidSect="00034616">
          <w:pgSz w:w="12240" w:h="15840"/>
          <w:pgMar w:top="1440" w:right="1800" w:bottom="1440" w:left="1800" w:header="720" w:footer="720" w:gutter="0"/>
          <w:cols w:space="720"/>
          <w:docGrid w:linePitch="360"/>
        </w:sectPr>
      </w:pPr>
    </w:p>
    <w:p w14:paraId="6ADF40FA" w14:textId="77777777" w:rsidR="008E5991" w:rsidRPr="004B194E" w:rsidRDefault="00000000" w:rsidP="0000333D">
      <w:pPr>
        <w:pStyle w:val="Heading1"/>
        <w:jc w:val="both"/>
      </w:pPr>
      <w:r w:rsidRPr="004B194E">
        <w:lastRenderedPageBreak/>
        <w:t>9. INVESTMENT CLIMATE AND BUSINESS ENVIRONMENT</w:t>
      </w:r>
    </w:p>
    <w:p w14:paraId="11CCAA70"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9.1 Business Climate Transformation</w:t>
      </w:r>
    </w:p>
    <w:p w14:paraId="73B348A6"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Uzbekistan's business climate has improved dramatically since the 2017 reform wave, though significant challenges remain.</w:t>
      </w:r>
    </w:p>
    <w:p w14:paraId="3FF710D3"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Table 16: Business Climate Evolution</w:t>
      </w:r>
    </w:p>
    <w:tbl>
      <w:tblPr>
        <w:tblStyle w:val="LightGrid-Accent1"/>
        <w:tblW w:w="0" w:type="auto"/>
        <w:tblLook w:val="04A0" w:firstRow="1" w:lastRow="0" w:firstColumn="1" w:lastColumn="0" w:noHBand="0" w:noVBand="1"/>
      </w:tblPr>
      <w:tblGrid>
        <w:gridCol w:w="1769"/>
        <w:gridCol w:w="1728"/>
        <w:gridCol w:w="1728"/>
        <w:gridCol w:w="1728"/>
        <w:gridCol w:w="1728"/>
      </w:tblGrid>
      <w:tr w:rsidR="004B194E" w:rsidRPr="004B194E" w14:paraId="143253E7" w14:textId="77777777" w:rsidTr="008E5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044D46B2"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Indicator</w:t>
            </w:r>
          </w:p>
        </w:tc>
        <w:tc>
          <w:tcPr>
            <w:tcW w:w="1728" w:type="dxa"/>
          </w:tcPr>
          <w:p w14:paraId="239DDE8D"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2015</w:t>
            </w:r>
          </w:p>
        </w:tc>
        <w:tc>
          <w:tcPr>
            <w:tcW w:w="1728" w:type="dxa"/>
          </w:tcPr>
          <w:p w14:paraId="7A6F906D"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2018</w:t>
            </w:r>
          </w:p>
        </w:tc>
        <w:tc>
          <w:tcPr>
            <w:tcW w:w="1728" w:type="dxa"/>
          </w:tcPr>
          <w:p w14:paraId="25049132"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Current Status</w:t>
            </w:r>
          </w:p>
        </w:tc>
        <w:tc>
          <w:tcPr>
            <w:tcW w:w="1728" w:type="dxa"/>
          </w:tcPr>
          <w:p w14:paraId="3B42FEB6"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Trend</w:t>
            </w:r>
          </w:p>
        </w:tc>
      </w:tr>
      <w:tr w:rsidR="004B194E" w:rsidRPr="004B194E" w14:paraId="5B9C91D6"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9C978D7"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**Ease of Doing Business Rank**</w:t>
            </w:r>
          </w:p>
        </w:tc>
        <w:tc>
          <w:tcPr>
            <w:tcW w:w="1728" w:type="dxa"/>
          </w:tcPr>
          <w:p w14:paraId="712DCB96"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141st</w:t>
            </w:r>
          </w:p>
        </w:tc>
        <w:tc>
          <w:tcPr>
            <w:tcW w:w="1728" w:type="dxa"/>
          </w:tcPr>
          <w:p w14:paraId="04E82086"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74th</w:t>
            </w:r>
          </w:p>
        </w:tc>
        <w:tc>
          <w:tcPr>
            <w:tcW w:w="1728" w:type="dxa"/>
          </w:tcPr>
          <w:p w14:paraId="58345EDD"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w:t>
            </w:r>
          </w:p>
        </w:tc>
        <w:tc>
          <w:tcPr>
            <w:tcW w:w="1728" w:type="dxa"/>
          </w:tcPr>
          <w:p w14:paraId="6C28283D"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Substantial improvement</w:t>
            </w:r>
          </w:p>
        </w:tc>
      </w:tr>
      <w:tr w:rsidR="004B194E" w:rsidRPr="004B194E" w14:paraId="2830F98F"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2093AB51"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**Corruption Perception Index Rank**</w:t>
            </w:r>
          </w:p>
        </w:tc>
        <w:tc>
          <w:tcPr>
            <w:tcW w:w="1728" w:type="dxa"/>
          </w:tcPr>
          <w:p w14:paraId="5C1FFD78"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Worse</w:t>
            </w:r>
          </w:p>
        </w:tc>
        <w:tc>
          <w:tcPr>
            <w:tcW w:w="1728" w:type="dxa"/>
          </w:tcPr>
          <w:p w14:paraId="524BC387"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Improving</w:t>
            </w:r>
          </w:p>
        </w:tc>
        <w:tc>
          <w:tcPr>
            <w:tcW w:w="1728" w:type="dxa"/>
          </w:tcPr>
          <w:p w14:paraId="3F98F134"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121/180 (TI 2024)</w:t>
            </w:r>
          </w:p>
        </w:tc>
        <w:tc>
          <w:tcPr>
            <w:tcW w:w="1728" w:type="dxa"/>
          </w:tcPr>
          <w:p w14:paraId="696A2597"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Gradual improvement but still concern</w:t>
            </w:r>
          </w:p>
        </w:tc>
      </w:tr>
      <w:tr w:rsidR="004B194E" w:rsidRPr="004B194E" w14:paraId="1C2C299C"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79E2A568"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**Currency Regime**</w:t>
            </w:r>
          </w:p>
        </w:tc>
        <w:tc>
          <w:tcPr>
            <w:tcW w:w="1728" w:type="dxa"/>
          </w:tcPr>
          <w:p w14:paraId="06F08B68"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Dual rate, controls</w:t>
            </w:r>
          </w:p>
        </w:tc>
        <w:tc>
          <w:tcPr>
            <w:tcW w:w="1728" w:type="dxa"/>
          </w:tcPr>
          <w:p w14:paraId="5520DBBD"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Unified, floating</w:t>
            </w:r>
          </w:p>
        </w:tc>
        <w:tc>
          <w:tcPr>
            <w:tcW w:w="1728" w:type="dxa"/>
          </w:tcPr>
          <w:p w14:paraId="689ABC06"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Free floating, full convertibility</w:t>
            </w:r>
          </w:p>
        </w:tc>
        <w:tc>
          <w:tcPr>
            <w:tcW w:w="1728" w:type="dxa"/>
          </w:tcPr>
          <w:p w14:paraId="132C0E45"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Major transformation</w:t>
            </w:r>
          </w:p>
        </w:tc>
      </w:tr>
      <w:tr w:rsidR="004B194E" w:rsidRPr="004B194E" w14:paraId="1F98F883"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5451684"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**Trade Regime**</w:t>
            </w:r>
          </w:p>
        </w:tc>
        <w:tc>
          <w:tcPr>
            <w:tcW w:w="1728" w:type="dxa"/>
          </w:tcPr>
          <w:p w14:paraId="267DC5C8"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Restricted</w:t>
            </w:r>
          </w:p>
        </w:tc>
        <w:tc>
          <w:tcPr>
            <w:tcW w:w="1728" w:type="dxa"/>
          </w:tcPr>
          <w:p w14:paraId="42195EDA"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Liberalized</w:t>
            </w:r>
          </w:p>
        </w:tc>
        <w:tc>
          <w:tcPr>
            <w:tcW w:w="1728" w:type="dxa"/>
          </w:tcPr>
          <w:p w14:paraId="625898D3"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Open trade, WTO accession progressing</w:t>
            </w:r>
          </w:p>
        </w:tc>
        <w:tc>
          <w:tcPr>
            <w:tcW w:w="1728" w:type="dxa"/>
          </w:tcPr>
          <w:p w14:paraId="7BEBC95D"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Continuing opening</w:t>
            </w:r>
          </w:p>
        </w:tc>
      </w:tr>
      <w:tr w:rsidR="004B194E" w:rsidRPr="004B194E" w14:paraId="15DD5207"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4A8279A7"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**Price Liberalization**</w:t>
            </w:r>
          </w:p>
        </w:tc>
        <w:tc>
          <w:tcPr>
            <w:tcW w:w="1728" w:type="dxa"/>
          </w:tcPr>
          <w:p w14:paraId="0A81E120"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Administered</w:t>
            </w:r>
          </w:p>
        </w:tc>
        <w:tc>
          <w:tcPr>
            <w:tcW w:w="1728" w:type="dxa"/>
          </w:tcPr>
          <w:p w14:paraId="33A639DB"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Liberalized</w:t>
            </w:r>
          </w:p>
        </w:tc>
        <w:tc>
          <w:tcPr>
            <w:tcW w:w="1728" w:type="dxa"/>
          </w:tcPr>
          <w:p w14:paraId="0B064700"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Most prices free, energy adjusting</w:t>
            </w:r>
          </w:p>
        </w:tc>
        <w:tc>
          <w:tcPr>
            <w:tcW w:w="1728" w:type="dxa"/>
          </w:tcPr>
          <w:p w14:paraId="0ADE8692"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Largely complete</w:t>
            </w:r>
          </w:p>
        </w:tc>
      </w:tr>
      <w:tr w:rsidR="004B194E" w:rsidRPr="004B194E" w14:paraId="58D5271C"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28" w:type="dxa"/>
          </w:tcPr>
          <w:p w14:paraId="66A098DA"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**Foreign Investors Council**</w:t>
            </w:r>
          </w:p>
        </w:tc>
        <w:tc>
          <w:tcPr>
            <w:tcW w:w="1728" w:type="dxa"/>
          </w:tcPr>
          <w:p w14:paraId="3A14D9E2"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No</w:t>
            </w:r>
          </w:p>
        </w:tc>
        <w:tc>
          <w:tcPr>
            <w:tcW w:w="1728" w:type="dxa"/>
          </w:tcPr>
          <w:p w14:paraId="4CF78227"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No</w:t>
            </w:r>
          </w:p>
        </w:tc>
        <w:tc>
          <w:tcPr>
            <w:tcW w:w="1728" w:type="dxa"/>
          </w:tcPr>
          <w:p w14:paraId="4E48DDD8"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Established 2022</w:t>
            </w:r>
          </w:p>
        </w:tc>
        <w:tc>
          <w:tcPr>
            <w:tcW w:w="1728" w:type="dxa"/>
          </w:tcPr>
          <w:p w14:paraId="5C7392D7"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New engagement channel</w:t>
            </w:r>
          </w:p>
        </w:tc>
      </w:tr>
    </w:tbl>
    <w:p w14:paraId="044A3152" w14:textId="77777777" w:rsidR="008E5991" w:rsidRPr="004B194E" w:rsidRDefault="008E5991" w:rsidP="0000333D">
      <w:pPr>
        <w:jc w:val="both"/>
        <w:rPr>
          <w:rFonts w:ascii="Times New Roman" w:hAnsi="Times New Roman" w:cs="Times New Roman"/>
          <w:color w:val="000000" w:themeColor="text1"/>
        </w:rPr>
      </w:pPr>
    </w:p>
    <w:p w14:paraId="2D52C998"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Key Reform Achievements:</w:t>
      </w:r>
    </w:p>
    <w:p w14:paraId="5C0C858A"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1. </w:t>
      </w:r>
      <w:r w:rsidRPr="004B194E">
        <w:rPr>
          <w:rFonts w:ascii="Times New Roman" w:hAnsi="Times New Roman" w:cs="Times New Roman"/>
          <w:b/>
          <w:color w:val="000000" w:themeColor="text1"/>
        </w:rPr>
        <w:t>Currency Liberalization (2017):</w:t>
      </w:r>
      <w:r w:rsidRPr="004B194E">
        <w:rPr>
          <w:rFonts w:ascii="Times New Roman" w:hAnsi="Times New Roman" w:cs="Times New Roman"/>
          <w:color w:val="000000" w:themeColor="text1"/>
        </w:rPr>
        <w:t xml:space="preserve"> Devaluation of ~48% overnight, unification of exchange rates, full convertibility, elimination of export surrender requirements</w:t>
      </w:r>
    </w:p>
    <w:p w14:paraId="676BD73F"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2. </w:t>
      </w:r>
      <w:r w:rsidRPr="004B194E">
        <w:rPr>
          <w:rFonts w:ascii="Times New Roman" w:hAnsi="Times New Roman" w:cs="Times New Roman"/>
          <w:b/>
          <w:color w:val="000000" w:themeColor="text1"/>
        </w:rPr>
        <w:t>Trade Liberalization:</w:t>
      </w:r>
      <w:r w:rsidRPr="004B194E">
        <w:rPr>
          <w:rFonts w:ascii="Times New Roman" w:hAnsi="Times New Roman" w:cs="Times New Roman"/>
          <w:color w:val="000000" w:themeColor="text1"/>
        </w:rPr>
        <w:t xml:space="preserve"> Removal of trade restrictions, licensing simplification, customs modernization</w:t>
      </w:r>
    </w:p>
    <w:p w14:paraId="2F2D7D1B"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3. </w:t>
      </w:r>
      <w:r w:rsidRPr="004B194E">
        <w:rPr>
          <w:rFonts w:ascii="Times New Roman" w:hAnsi="Times New Roman" w:cs="Times New Roman"/>
          <w:b/>
          <w:color w:val="000000" w:themeColor="text1"/>
        </w:rPr>
        <w:t>Business Registration:</w:t>
      </w:r>
      <w:r w:rsidRPr="004B194E">
        <w:rPr>
          <w:rFonts w:ascii="Times New Roman" w:hAnsi="Times New Roman" w:cs="Times New Roman"/>
          <w:color w:val="000000" w:themeColor="text1"/>
        </w:rPr>
        <w:t xml:space="preserve"> Simplified procedures, reduced time and cost</w:t>
      </w:r>
    </w:p>
    <w:p w14:paraId="7F2539E4"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4. </w:t>
      </w:r>
      <w:r w:rsidRPr="004B194E">
        <w:rPr>
          <w:rFonts w:ascii="Times New Roman" w:hAnsi="Times New Roman" w:cs="Times New Roman"/>
          <w:b/>
          <w:color w:val="000000" w:themeColor="text1"/>
        </w:rPr>
        <w:t>Licensing:</w:t>
      </w:r>
      <w:r w:rsidRPr="004B194E">
        <w:rPr>
          <w:rFonts w:ascii="Times New Roman" w:hAnsi="Times New Roman" w:cs="Times New Roman"/>
          <w:color w:val="000000" w:themeColor="text1"/>
        </w:rPr>
        <w:t xml:space="preserve"> Reduction in licensing requirements across sectors</w:t>
      </w:r>
    </w:p>
    <w:p w14:paraId="522ACBCD"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5. </w:t>
      </w:r>
      <w:r w:rsidRPr="004B194E">
        <w:rPr>
          <w:rFonts w:ascii="Times New Roman" w:hAnsi="Times New Roman" w:cs="Times New Roman"/>
          <w:b/>
          <w:color w:val="000000" w:themeColor="text1"/>
        </w:rPr>
        <w:t>Tax Reform:</w:t>
      </w:r>
      <w:r w:rsidRPr="004B194E">
        <w:rPr>
          <w:rFonts w:ascii="Times New Roman" w:hAnsi="Times New Roman" w:cs="Times New Roman"/>
          <w:color w:val="000000" w:themeColor="text1"/>
        </w:rPr>
        <w:t xml:space="preserve"> Tax Code effective 2020; corporate tax 20% to 15%; VAT refunds simplified; tax stability guarantees up to 10 years for strategic investors</w:t>
      </w:r>
    </w:p>
    <w:p w14:paraId="4ED94792"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6. </w:t>
      </w:r>
      <w:r w:rsidRPr="004B194E">
        <w:rPr>
          <w:rFonts w:ascii="Times New Roman" w:hAnsi="Times New Roman" w:cs="Times New Roman"/>
          <w:b/>
          <w:color w:val="000000" w:themeColor="text1"/>
        </w:rPr>
        <w:t>Electricity Access:</w:t>
      </w:r>
      <w:r w:rsidRPr="004B194E">
        <w:rPr>
          <w:rFonts w:ascii="Times New Roman" w:hAnsi="Times New Roman" w:cs="Times New Roman"/>
          <w:color w:val="000000" w:themeColor="text1"/>
        </w:rPr>
        <w:t xml:space="preserve"> Faster connection procedures</w:t>
      </w:r>
    </w:p>
    <w:p w14:paraId="009B8C8D"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7. </w:t>
      </w:r>
      <w:r w:rsidRPr="004B194E">
        <w:rPr>
          <w:rFonts w:ascii="Times New Roman" w:hAnsi="Times New Roman" w:cs="Times New Roman"/>
          <w:b/>
          <w:color w:val="000000" w:themeColor="text1"/>
        </w:rPr>
        <w:t>Foreign Investors Council (2022):</w:t>
      </w:r>
      <w:r w:rsidRPr="004B194E">
        <w:rPr>
          <w:rFonts w:ascii="Times New Roman" w:hAnsi="Times New Roman" w:cs="Times New Roman"/>
          <w:color w:val="000000" w:themeColor="text1"/>
        </w:rPr>
        <w:t xml:space="preserve"> Platform for investor engagement and feedback</w:t>
      </w:r>
    </w:p>
    <w:p w14:paraId="6A6BAEE6"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8. </w:t>
      </w:r>
      <w:r w:rsidRPr="004B194E">
        <w:rPr>
          <w:rFonts w:ascii="Times New Roman" w:hAnsi="Times New Roman" w:cs="Times New Roman"/>
          <w:b/>
          <w:color w:val="000000" w:themeColor="text1"/>
        </w:rPr>
        <w:t>Development Strategy 2022-2026:</w:t>
      </w:r>
      <w:r w:rsidRPr="004B194E">
        <w:rPr>
          <w:rFonts w:ascii="Times New Roman" w:hAnsi="Times New Roman" w:cs="Times New Roman"/>
          <w:color w:val="000000" w:themeColor="text1"/>
        </w:rPr>
        <w:t xml:space="preserve"> Provides predictable medium-term policy framework</w:t>
      </w:r>
    </w:p>
    <w:p w14:paraId="402197CE"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lastRenderedPageBreak/>
        <w:t xml:space="preserve">9. </w:t>
      </w:r>
      <w:r w:rsidRPr="004B194E">
        <w:rPr>
          <w:rFonts w:ascii="Times New Roman" w:hAnsi="Times New Roman" w:cs="Times New Roman"/>
          <w:b/>
          <w:color w:val="000000" w:themeColor="text1"/>
        </w:rPr>
        <w:t>PPP Law (2019):</w:t>
      </w:r>
      <w:r w:rsidRPr="004B194E">
        <w:rPr>
          <w:rFonts w:ascii="Times New Roman" w:hAnsi="Times New Roman" w:cs="Times New Roman"/>
          <w:color w:val="000000" w:themeColor="text1"/>
        </w:rPr>
        <w:t xml:space="preserve"> Strengthens project frameworks and investor protections</w:t>
      </w:r>
    </w:p>
    <w:p w14:paraId="63C98E81"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Remaining Challenges:</w:t>
      </w:r>
    </w:p>
    <w:p w14:paraId="466CCE71"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1. </w:t>
      </w:r>
      <w:r w:rsidRPr="004B194E">
        <w:rPr>
          <w:rFonts w:ascii="Times New Roman" w:hAnsi="Times New Roman" w:cs="Times New Roman"/>
          <w:b/>
          <w:color w:val="000000" w:themeColor="text1"/>
        </w:rPr>
        <w:t>SOE Dominance:</w:t>
      </w:r>
      <w:r w:rsidRPr="004B194E">
        <w:rPr>
          <w:rFonts w:ascii="Times New Roman" w:hAnsi="Times New Roman" w:cs="Times New Roman"/>
          <w:color w:val="000000" w:themeColor="text1"/>
        </w:rPr>
        <w:t xml:space="preserve"> Creates uneven playing field and competition distortions</w:t>
      </w:r>
    </w:p>
    <w:p w14:paraId="5738AE40"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2. </w:t>
      </w:r>
      <w:r w:rsidRPr="004B194E">
        <w:rPr>
          <w:rFonts w:ascii="Times New Roman" w:hAnsi="Times New Roman" w:cs="Times New Roman"/>
          <w:b/>
          <w:color w:val="000000" w:themeColor="text1"/>
        </w:rPr>
        <w:t>Bureaucratic Delays:</w:t>
      </w:r>
      <w:r w:rsidRPr="004B194E">
        <w:rPr>
          <w:rFonts w:ascii="Times New Roman" w:hAnsi="Times New Roman" w:cs="Times New Roman"/>
          <w:color w:val="000000" w:themeColor="text1"/>
        </w:rPr>
        <w:t xml:space="preserve"> Persist despite improvements</w:t>
      </w:r>
    </w:p>
    <w:p w14:paraId="3481A7FD"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3. </w:t>
      </w:r>
      <w:r w:rsidRPr="004B194E">
        <w:rPr>
          <w:rFonts w:ascii="Times New Roman" w:hAnsi="Times New Roman" w:cs="Times New Roman"/>
          <w:b/>
          <w:color w:val="000000" w:themeColor="text1"/>
        </w:rPr>
        <w:t>Legal Uncertainty:</w:t>
      </w:r>
      <w:r w:rsidRPr="004B194E">
        <w:rPr>
          <w:rFonts w:ascii="Times New Roman" w:hAnsi="Times New Roman" w:cs="Times New Roman"/>
          <w:color w:val="000000" w:themeColor="text1"/>
        </w:rPr>
        <w:t xml:space="preserve"> In some areas, particularly newer regulations</w:t>
      </w:r>
    </w:p>
    <w:p w14:paraId="6D166D79"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4. </w:t>
      </w:r>
      <w:r w:rsidRPr="004B194E">
        <w:rPr>
          <w:rFonts w:ascii="Times New Roman" w:hAnsi="Times New Roman" w:cs="Times New Roman"/>
          <w:b/>
          <w:color w:val="000000" w:themeColor="text1"/>
        </w:rPr>
        <w:t>Corruption:</w:t>
      </w:r>
      <w:r w:rsidRPr="004B194E">
        <w:rPr>
          <w:rFonts w:ascii="Times New Roman" w:hAnsi="Times New Roman" w:cs="Times New Roman"/>
          <w:color w:val="000000" w:themeColor="text1"/>
        </w:rPr>
        <w:t xml:space="preserve"> Ranking 121/180 (TI CPI 2024), though improving</w:t>
      </w:r>
    </w:p>
    <w:p w14:paraId="1072AFA0"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5. </w:t>
      </w:r>
      <w:r w:rsidRPr="004B194E">
        <w:rPr>
          <w:rFonts w:ascii="Times New Roman" w:hAnsi="Times New Roman" w:cs="Times New Roman"/>
          <w:b/>
          <w:color w:val="000000" w:themeColor="text1"/>
        </w:rPr>
        <w:t>Contract Enforcement:</w:t>
      </w:r>
      <w:r w:rsidRPr="004B194E">
        <w:rPr>
          <w:rFonts w:ascii="Times New Roman" w:hAnsi="Times New Roman" w:cs="Times New Roman"/>
          <w:color w:val="000000" w:themeColor="text1"/>
        </w:rPr>
        <w:t xml:space="preserve"> Needs strengthening despite judicial reforms</w:t>
      </w:r>
    </w:p>
    <w:p w14:paraId="1AC8398F"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6. </w:t>
      </w:r>
      <w:r w:rsidRPr="004B194E">
        <w:rPr>
          <w:rFonts w:ascii="Times New Roman" w:hAnsi="Times New Roman" w:cs="Times New Roman"/>
          <w:b/>
          <w:color w:val="000000" w:themeColor="text1"/>
        </w:rPr>
        <w:t>Judicial Independence:</w:t>
      </w:r>
      <w:r w:rsidRPr="004B194E">
        <w:rPr>
          <w:rFonts w:ascii="Times New Roman" w:hAnsi="Times New Roman" w:cs="Times New Roman"/>
          <w:color w:val="000000" w:themeColor="text1"/>
        </w:rPr>
        <w:t xml:space="preserve"> Requires further development</w:t>
      </w:r>
    </w:p>
    <w:p w14:paraId="0E54F1C7"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7. </w:t>
      </w:r>
      <w:r w:rsidRPr="004B194E">
        <w:rPr>
          <w:rFonts w:ascii="Times New Roman" w:hAnsi="Times New Roman" w:cs="Times New Roman"/>
          <w:b/>
          <w:color w:val="000000" w:themeColor="text1"/>
        </w:rPr>
        <w:t>Administrative Burdens:</w:t>
      </w:r>
      <w:r w:rsidRPr="004B194E">
        <w:rPr>
          <w:rFonts w:ascii="Times New Roman" w:hAnsi="Times New Roman" w:cs="Times New Roman"/>
          <w:color w:val="000000" w:themeColor="text1"/>
        </w:rPr>
        <w:t xml:space="preserve"> Particularly for SMEs</w:t>
      </w:r>
    </w:p>
    <w:p w14:paraId="6BCC1610"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8. </w:t>
      </w:r>
      <w:r w:rsidRPr="004B194E">
        <w:rPr>
          <w:rFonts w:ascii="Times New Roman" w:hAnsi="Times New Roman" w:cs="Times New Roman"/>
          <w:b/>
          <w:color w:val="000000" w:themeColor="text1"/>
        </w:rPr>
        <w:t>Property Rights:</w:t>
      </w:r>
      <w:r w:rsidRPr="004B194E">
        <w:rPr>
          <w:rFonts w:ascii="Times New Roman" w:hAnsi="Times New Roman" w:cs="Times New Roman"/>
          <w:color w:val="000000" w:themeColor="text1"/>
        </w:rPr>
        <w:t xml:space="preserve"> Concerns declining but remain</w:t>
      </w:r>
    </w:p>
    <w:p w14:paraId="0F775B8D"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9. </w:t>
      </w:r>
      <w:r w:rsidRPr="004B194E">
        <w:rPr>
          <w:rFonts w:ascii="Times New Roman" w:hAnsi="Times New Roman" w:cs="Times New Roman"/>
          <w:b/>
          <w:color w:val="000000" w:themeColor="text1"/>
        </w:rPr>
        <w:t>Political Economy Constraints:</w:t>
      </w:r>
      <w:r w:rsidRPr="004B194E">
        <w:rPr>
          <w:rFonts w:ascii="Times New Roman" w:hAnsi="Times New Roman" w:cs="Times New Roman"/>
          <w:color w:val="000000" w:themeColor="text1"/>
        </w:rPr>
        <w:t xml:space="preserve"> Limit pace of complex reforms</w:t>
      </w:r>
    </w:p>
    <w:p w14:paraId="70FFEDE3"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10. </w:t>
      </w:r>
      <w:r w:rsidRPr="004B194E">
        <w:rPr>
          <w:rFonts w:ascii="Times New Roman" w:hAnsi="Times New Roman" w:cs="Times New Roman"/>
          <w:b/>
          <w:color w:val="000000" w:themeColor="text1"/>
        </w:rPr>
        <w:t>Implementation Capacity:</w:t>
      </w:r>
      <w:r w:rsidRPr="004B194E">
        <w:rPr>
          <w:rFonts w:ascii="Times New Roman" w:hAnsi="Times New Roman" w:cs="Times New Roman"/>
          <w:color w:val="000000" w:themeColor="text1"/>
        </w:rPr>
        <w:t xml:space="preserve"> Government capacity issues hinder some reforms</w:t>
      </w:r>
    </w:p>
    <w:p w14:paraId="25560A1D"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9.2 SOE Governance and Competition</w:t>
      </w:r>
    </w:p>
    <w:p w14:paraId="70CEBCB2"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Current Situation:</w:t>
      </w:r>
      <w:r w:rsidRPr="004B194E">
        <w:rPr>
          <w:rFonts w:ascii="Times New Roman" w:hAnsi="Times New Roman" w:cs="Times New Roman"/>
          <w:color w:val="000000" w:themeColor="text1"/>
        </w:rPr>
        <w:t xml:space="preserve"> The economy continues to be dominated by large state-owned enterprises across sectors, creating multiple challenges for private sector development.</w:t>
      </w:r>
    </w:p>
    <w:p w14:paraId="4629E16A"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Impact on Competition:</w:t>
      </w:r>
    </w:p>
    <w:p w14:paraId="4FB976F3"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Uneven playing field between SOEs and private firms</w:t>
      </w:r>
    </w:p>
    <w:p w14:paraId="19152125"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Market concentration in key sectors</w:t>
      </w:r>
    </w:p>
    <w:p w14:paraId="5AA54C40"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Barriers to entry created by SOE dominance</w:t>
      </w:r>
    </w:p>
    <w:p w14:paraId="126B1BDA"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Limited competition frameworks and enforcement</w:t>
      </w:r>
    </w:p>
    <w:p w14:paraId="3218438D"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Informal sector creates additional unfair competition</w:t>
      </w:r>
    </w:p>
    <w:p w14:paraId="67E44B64"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Reform Progress:</w:t>
      </w:r>
    </w:p>
    <w:p w14:paraId="3C2D2CFF"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SOE Reform and Governance Strategy 2021-2025: Adopted as de facto State Assets Ownership policy</w:t>
      </w:r>
    </w:p>
    <w:p w14:paraId="2C23FB2B"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Law on State Property Management: Provides framework for SOE oversight</w:t>
      </w:r>
    </w:p>
    <w:p w14:paraId="7B6773DD"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Gradual Privatization: Talimarjan TPP (80% to Mubadala/TAQA), TBC Bank, state bank privatization progressing</w:t>
      </w:r>
    </w:p>
    <w:p w14:paraId="4AD4DDEB"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State Assets Management Agency: Receiving capacity building from EBRD and partners</w:t>
      </w:r>
    </w:p>
    <w:p w14:paraId="63526B4B"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Competition Policy Needs:</w:t>
      </w:r>
    </w:p>
    <w:p w14:paraId="6BEAFDCD"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Stronger competition legislation and enforcement capacity</w:t>
      </w:r>
    </w:p>
    <w:p w14:paraId="31178E58"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Regulatory barrier reduction</w:t>
      </w:r>
    </w:p>
    <w:p w14:paraId="6FBC9CF5"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Import competition facilitation</w:t>
      </w:r>
    </w:p>
    <w:p w14:paraId="31DE5EC9"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Regional market integration</w:t>
      </w:r>
    </w:p>
    <w:p w14:paraId="3AE7218E"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Positive factors: trade liberalization since 2017, WTO accession process, gradual SOE privatization, PPP framework allowing private participation</w:t>
      </w:r>
    </w:p>
    <w:p w14:paraId="4FFF2AF0"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lastRenderedPageBreak/>
        <w:t>9.3 Governance and Anti-Corruption</w:t>
      </w:r>
    </w:p>
    <w:p w14:paraId="0B1F17AD"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Corruption Perception Index:</w:t>
      </w:r>
      <w:r w:rsidRPr="004B194E">
        <w:rPr>
          <w:rFonts w:ascii="Times New Roman" w:hAnsi="Times New Roman" w:cs="Times New Roman"/>
          <w:color w:val="000000" w:themeColor="text1"/>
        </w:rPr>
        <w:t xml:space="preserve"> 121/180 (Transparency International 2024) shows improvement from earlier rankings but indicates significant challenges persist.</w:t>
      </w:r>
    </w:p>
    <w:p w14:paraId="42DBFD32"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Governance Reform Priorities:</w:t>
      </w:r>
    </w:p>
    <w:p w14:paraId="0C8D4D98"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1. </w:t>
      </w:r>
      <w:r w:rsidRPr="004B194E">
        <w:rPr>
          <w:rFonts w:ascii="Times New Roman" w:hAnsi="Times New Roman" w:cs="Times New Roman"/>
          <w:b/>
          <w:color w:val="000000" w:themeColor="text1"/>
        </w:rPr>
        <w:t>National Anti-Corruption Strategy:</w:t>
      </w:r>
      <w:r w:rsidRPr="004B194E">
        <w:rPr>
          <w:rFonts w:ascii="Times New Roman" w:hAnsi="Times New Roman" w:cs="Times New Roman"/>
          <w:color w:val="000000" w:themeColor="text1"/>
        </w:rPr>
        <w:t xml:space="preserve"> Approval pending, critical next step</w:t>
      </w:r>
    </w:p>
    <w:p w14:paraId="23E67F4F"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2. </w:t>
      </w:r>
      <w:r w:rsidRPr="004B194E">
        <w:rPr>
          <w:rFonts w:ascii="Times New Roman" w:hAnsi="Times New Roman" w:cs="Times New Roman"/>
          <w:b/>
          <w:color w:val="000000" w:themeColor="text1"/>
        </w:rPr>
        <w:t>Judicial Independence:</w:t>
      </w:r>
      <w:r w:rsidRPr="004B194E">
        <w:rPr>
          <w:rFonts w:ascii="Times New Roman" w:hAnsi="Times New Roman" w:cs="Times New Roman"/>
          <w:color w:val="000000" w:themeColor="text1"/>
        </w:rPr>
        <w:t xml:space="preserve"> Reforms ongoing but further strengthening needed (Development Strategy 2022-2026 Priority 2)</w:t>
      </w:r>
    </w:p>
    <w:p w14:paraId="5CAED14A"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3. </w:t>
      </w:r>
      <w:r w:rsidRPr="004B194E">
        <w:rPr>
          <w:rFonts w:ascii="Times New Roman" w:hAnsi="Times New Roman" w:cs="Times New Roman"/>
          <w:b/>
          <w:color w:val="000000" w:themeColor="text1"/>
        </w:rPr>
        <w:t>Public Procurement:</w:t>
      </w:r>
      <w:r w:rsidRPr="004B194E">
        <w:rPr>
          <w:rFonts w:ascii="Times New Roman" w:hAnsi="Times New Roman" w:cs="Times New Roman"/>
          <w:color w:val="000000" w:themeColor="text1"/>
        </w:rPr>
        <w:t xml:space="preserve"> Efficiency improvements needed, transparency enhancement</w:t>
      </w:r>
    </w:p>
    <w:p w14:paraId="399FEAAF"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4. </w:t>
      </w:r>
      <w:r w:rsidRPr="004B194E">
        <w:rPr>
          <w:rFonts w:ascii="Times New Roman" w:hAnsi="Times New Roman" w:cs="Times New Roman"/>
          <w:b/>
          <w:color w:val="000000" w:themeColor="text1"/>
        </w:rPr>
        <w:t>Property Rights:</w:t>
      </w:r>
      <w:r w:rsidRPr="004B194E">
        <w:rPr>
          <w:rFonts w:ascii="Times New Roman" w:hAnsi="Times New Roman" w:cs="Times New Roman"/>
          <w:color w:val="000000" w:themeColor="text1"/>
        </w:rPr>
        <w:t xml:space="preserve"> Protections improving but concerns remain</w:t>
      </w:r>
    </w:p>
    <w:p w14:paraId="46FB1D81"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5. </w:t>
      </w:r>
      <w:r w:rsidRPr="004B194E">
        <w:rPr>
          <w:rFonts w:ascii="Times New Roman" w:hAnsi="Times New Roman" w:cs="Times New Roman"/>
          <w:b/>
          <w:color w:val="000000" w:themeColor="text1"/>
        </w:rPr>
        <w:t>Transparency and Accountability:</w:t>
      </w:r>
      <w:r w:rsidRPr="004B194E">
        <w:rPr>
          <w:rFonts w:ascii="Times New Roman" w:hAnsi="Times New Roman" w:cs="Times New Roman"/>
          <w:color w:val="000000" w:themeColor="text1"/>
        </w:rPr>
        <w:t xml:space="preserve"> Government reporting, SOE transparency, fiscal transparency</w:t>
      </w:r>
    </w:p>
    <w:p w14:paraId="2AA7C737"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6. </w:t>
      </w:r>
      <w:r w:rsidRPr="004B194E">
        <w:rPr>
          <w:rFonts w:ascii="Times New Roman" w:hAnsi="Times New Roman" w:cs="Times New Roman"/>
          <w:b/>
          <w:color w:val="000000" w:themeColor="text1"/>
        </w:rPr>
        <w:t>Rule of Law:</w:t>
      </w:r>
      <w:r w:rsidRPr="004B194E">
        <w:rPr>
          <w:rFonts w:ascii="Times New Roman" w:hAnsi="Times New Roman" w:cs="Times New Roman"/>
          <w:color w:val="000000" w:themeColor="text1"/>
        </w:rPr>
        <w:t xml:space="preserve"> Judicial efficiency, contract enforcement, dispute resolution</w:t>
      </w:r>
    </w:p>
    <w:p w14:paraId="01924B4C"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7. </w:t>
      </w:r>
      <w:r w:rsidRPr="004B194E">
        <w:rPr>
          <w:rFonts w:ascii="Times New Roman" w:hAnsi="Times New Roman" w:cs="Times New Roman"/>
          <w:b/>
          <w:color w:val="000000" w:themeColor="text1"/>
        </w:rPr>
        <w:t>Public Administration:</w:t>
      </w:r>
      <w:r w:rsidRPr="004B194E">
        <w:rPr>
          <w:rFonts w:ascii="Times New Roman" w:hAnsi="Times New Roman" w:cs="Times New Roman"/>
          <w:color w:val="000000" w:themeColor="text1"/>
        </w:rPr>
        <w:t xml:space="preserve"> Modernization per Development Strategy 2022-2026 Priority 1</w:t>
      </w:r>
    </w:p>
    <w:p w14:paraId="645F4C91"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8. </w:t>
      </w:r>
      <w:r w:rsidRPr="004B194E">
        <w:rPr>
          <w:rFonts w:ascii="Times New Roman" w:hAnsi="Times New Roman" w:cs="Times New Roman"/>
          <w:b/>
          <w:color w:val="000000" w:themeColor="text1"/>
        </w:rPr>
        <w:t>E-Governance:</w:t>
      </w:r>
      <w:r w:rsidRPr="004B194E">
        <w:rPr>
          <w:rFonts w:ascii="Times New Roman" w:hAnsi="Times New Roman" w:cs="Times New Roman"/>
          <w:color w:val="000000" w:themeColor="text1"/>
        </w:rPr>
        <w:t xml:space="preserve"> Digital governance reducing corruption opportunities (Open Data Portal data.egov.uz)</w:t>
      </w:r>
    </w:p>
    <w:p w14:paraId="37094C17"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Positive Developments:</w:t>
      </w:r>
    </w:p>
    <w:p w14:paraId="7AB8E57E"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Development Strategy 2022-2026 provides comprehensive governance reform framework</w:t>
      </w:r>
    </w:p>
    <w:p w14:paraId="22491C7E"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Foreign Investors Council 2022 improving engagement</w:t>
      </w:r>
    </w:p>
    <w:p w14:paraId="69D6E237"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Digital governance initiatives reducing discretion</w:t>
      </w:r>
    </w:p>
    <w:p w14:paraId="73B14D04"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PPP framework transparency requirements</w:t>
      </w:r>
    </w:p>
    <w:p w14:paraId="73E48803"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International engagement (IMF, World Bank, EBRD) supporting governance reforms</w:t>
      </w:r>
    </w:p>
    <w:p w14:paraId="2142DB25"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Advisory Council on Women Entrepreneurship showing inclusive governance</w:t>
      </w:r>
    </w:p>
    <w:p w14:paraId="1CDDDE41"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9.4 Property Rights and Contract Enforcement</w:t>
      </w:r>
    </w:p>
    <w:p w14:paraId="06A425DB"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Property Rights:</w:t>
      </w:r>
      <w:r w:rsidRPr="004B194E">
        <w:rPr>
          <w:rFonts w:ascii="Times New Roman" w:hAnsi="Times New Roman" w:cs="Times New Roman"/>
          <w:color w:val="000000" w:themeColor="text1"/>
        </w:rPr>
        <w:t xml:space="preserve"> Protections improving through legal reforms and judicial system strengthening, but concerns remain, particularly for land acquisition processes and intellectual property enforcement.</w:t>
      </w:r>
    </w:p>
    <w:p w14:paraId="624CE58C"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Contract Enforcement:</w:t>
      </w:r>
      <w:r w:rsidRPr="004B194E">
        <w:rPr>
          <w:rFonts w:ascii="Times New Roman" w:hAnsi="Times New Roman" w:cs="Times New Roman"/>
          <w:color w:val="000000" w:themeColor="text1"/>
        </w:rPr>
        <w:t xml:space="preserve"> Frameworks improving through:</w:t>
      </w:r>
    </w:p>
    <w:p w14:paraId="3B0F2565"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Judicial system reforms enhancing independence, transparency, efficiency</w:t>
      </w:r>
    </w:p>
    <w:p w14:paraId="4F1A5EFE"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Development Strategy 2022-2026 Priority 2 focusing on judicial and legal reform</w:t>
      </w:r>
    </w:p>
    <w:p w14:paraId="41BB252B"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International arbitration access for PPPs and major investments</w:t>
      </w:r>
    </w:p>
    <w:p w14:paraId="438DB5DE"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Stronger legal guarantees for investors</w:t>
      </w:r>
    </w:p>
    <w:p w14:paraId="2E86D7EC"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Land and Permit Risk:</w:t>
      </w:r>
      <w:r w:rsidRPr="004B194E">
        <w:rPr>
          <w:rFonts w:ascii="Times New Roman" w:hAnsi="Times New Roman" w:cs="Times New Roman"/>
          <w:color w:val="000000" w:themeColor="text1"/>
        </w:rPr>
        <w:t xml:space="preserve"> Moderate. Challenges include:</w:t>
      </w:r>
    </w:p>
    <w:p w14:paraId="06163D26"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Bureaucratic delays in permitting</w:t>
      </w:r>
    </w:p>
    <w:p w14:paraId="1E348810"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Complex land acquisition processes</w:t>
      </w:r>
    </w:p>
    <w:p w14:paraId="60549C8F"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Uncertain permitting timeframes, especially for large projects</w:t>
      </w:r>
    </w:p>
    <w:p w14:paraId="2907167B"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Property rights concerns</w:t>
      </w:r>
    </w:p>
    <w:p w14:paraId="0FF6422E"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lastRenderedPageBreak/>
        <w:t>However, for major PPPs, government commitment and multilateral involvement (World Bank, EBRD feasibility/advisory) mitigate risks</w:t>
      </w:r>
    </w:p>
    <w:p w14:paraId="75559BD9"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9.5 Foreign Investment Framework</w:t>
      </w:r>
    </w:p>
    <w:p w14:paraId="7048DC6C"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Foreign Investors Council:</w:t>
      </w:r>
      <w:r w:rsidRPr="004B194E">
        <w:rPr>
          <w:rFonts w:ascii="Times New Roman" w:hAnsi="Times New Roman" w:cs="Times New Roman"/>
          <w:color w:val="000000" w:themeColor="text1"/>
        </w:rPr>
        <w:t xml:space="preserve"> Established 2022, providing engagement channel between government and foreign investors for policy dialogue and investment climate improvement.</w:t>
      </w:r>
    </w:p>
    <w:p w14:paraId="363D2088"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Investment Promotion:</w:t>
      </w:r>
      <w:r w:rsidRPr="004B194E">
        <w:rPr>
          <w:rFonts w:ascii="Times New Roman" w:hAnsi="Times New Roman" w:cs="Times New Roman"/>
          <w:color w:val="000000" w:themeColor="text1"/>
        </w:rPr>
        <w:t xml:space="preserve"> Ministry of Investment, Industry and Trade (MIIT) maintains PPP Project Portal (https://invest.gov.uz/) with project information and investment opportunities.</w:t>
      </w:r>
    </w:p>
    <w:p w14:paraId="6215E0A3"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Investment Protections:</w:t>
      </w:r>
    </w:p>
    <w:p w14:paraId="7C57C83E"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International arbitration access</w:t>
      </w:r>
    </w:p>
    <w:p w14:paraId="4EA9FC77"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Tax stability guarantees up to 10 years for strategic investors</w:t>
      </w:r>
    </w:p>
    <w:p w14:paraId="6A474A81"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Full currency convertibility and repatriation</w:t>
      </w:r>
    </w:p>
    <w:p w14:paraId="4C021892"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Customized tax regimes for major projects (Cabinet approval)</w:t>
      </w:r>
    </w:p>
    <w:p w14:paraId="07756D7D"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PPP framework protections</w:t>
      </w:r>
    </w:p>
    <w:p w14:paraId="3EF5FCB9"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FDI Performance:</w:t>
      </w:r>
      <w:r w:rsidRPr="004B194E">
        <w:rPr>
          <w:rFonts w:ascii="Times New Roman" w:hAnsi="Times New Roman" w:cs="Times New Roman"/>
          <w:color w:val="000000" w:themeColor="text1"/>
        </w:rPr>
        <w:t xml:space="preserve"> Significant increases in FDI since 2017 reforms, with major investors in:</w:t>
      </w:r>
    </w:p>
    <w:p w14:paraId="7DED1467"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Energy (Mubadala, TAQA - Talimarjan TPP USD ~1.7bn)</w:t>
      </w:r>
    </w:p>
    <w:p w14:paraId="0B34B366"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Infrastructure (toll roads attracting international interest)</w:t>
      </w:r>
    </w:p>
    <w:p w14:paraId="7FD30CD1"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Manufacturing (textiles, pharmaceuticals, automotive)</w:t>
      </w:r>
    </w:p>
    <w:p w14:paraId="5E9FBA0A"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Digital (TBC Bank)</w:t>
      </w:r>
    </w:p>
    <w:p w14:paraId="30B10540"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Retail (Anglesey Food USD 40m equity)</w:t>
      </w:r>
    </w:p>
    <w:p w14:paraId="12232625"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9.6 Regulatory Environment</w:t>
      </w:r>
    </w:p>
    <w:p w14:paraId="697B0E43"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Regulatory Simplification:</w:t>
      </w:r>
      <w:r w:rsidRPr="004B194E">
        <w:rPr>
          <w:rFonts w:ascii="Times New Roman" w:hAnsi="Times New Roman" w:cs="Times New Roman"/>
          <w:color w:val="000000" w:themeColor="text1"/>
        </w:rPr>
        <w:t xml:space="preserve"> Development Strategy 2022-2026 Priority 1 focuses on improving public administration, digital governance, and simplified business registration/permitting to create predictable regulatory environment.</w:t>
      </w:r>
    </w:p>
    <w:p w14:paraId="30DF22B7"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Sectoral Regulations:</w:t>
      </w:r>
      <w:r w:rsidRPr="004B194E">
        <w:rPr>
          <w:rFonts w:ascii="Times New Roman" w:hAnsi="Times New Roman" w:cs="Times New Roman"/>
          <w:color w:val="000000" w:themeColor="text1"/>
        </w:rPr>
        <w:t xml:space="preserve"> World Bank Benchmarking Infrastructure 2023 provides comprehensive assessment of sectoral regulations for roads, energy, urban development.</w:t>
      </w:r>
    </w:p>
    <w:p w14:paraId="7B43A26A"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Regulatory Challenges:</w:t>
      </w:r>
    </w:p>
    <w:p w14:paraId="6CBAB7D6"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Implementation capacity varies across government levels</w:t>
      </w:r>
    </w:p>
    <w:p w14:paraId="522B8C58"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Regulatory uncertainty in some emerging areas</w:t>
      </w:r>
    </w:p>
    <w:p w14:paraId="6BB3F2B1"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Coordination between agencies can be complex</w:t>
      </w:r>
    </w:p>
    <w:p w14:paraId="717271A0"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Bureaucratic delays despite improvements</w:t>
      </w:r>
    </w:p>
    <w:p w14:paraId="4E7DF4BF"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Positive Developments:</w:t>
      </w:r>
    </w:p>
    <w:p w14:paraId="51231356"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Predictable medium-term framework through Development Strategy 2022-2026</w:t>
      </w:r>
    </w:p>
    <w:p w14:paraId="49A99CD0"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PPP Law 2019 providing clear sectoral frameworks</w:t>
      </w:r>
    </w:p>
    <w:p w14:paraId="0AF1B7D9"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Tax Code 2020 modernization</w:t>
      </w:r>
    </w:p>
    <w:p w14:paraId="7626C2F7"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E-governance reducing administrative burden</w:t>
      </w:r>
    </w:p>
    <w:p w14:paraId="48127457"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International best practice adoption (EBRD, World Bank support)</w:t>
      </w:r>
    </w:p>
    <w:p w14:paraId="07061C21"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lastRenderedPageBreak/>
        <w:t>9.7 Trade and Export Environment</w:t>
      </w:r>
    </w:p>
    <w:p w14:paraId="1071CE65"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Trade-to-GDP Ratio:</w:t>
      </w:r>
      <w:r w:rsidRPr="004B194E">
        <w:rPr>
          <w:rFonts w:ascii="Times New Roman" w:hAnsi="Times New Roman" w:cs="Times New Roman"/>
          <w:color w:val="000000" w:themeColor="text1"/>
        </w:rPr>
        <w:t xml:space="preserve"> Approximately 61% (2024), up from doubling since 2017, reflecting growing integration.</w:t>
      </w:r>
    </w:p>
    <w:p w14:paraId="7907B934"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Trade Facilitation Programme:</w:t>
      </w:r>
      <w:r w:rsidRPr="004B194E">
        <w:rPr>
          <w:rFonts w:ascii="Times New Roman" w:hAnsi="Times New Roman" w:cs="Times New Roman"/>
          <w:color w:val="000000" w:themeColor="text1"/>
        </w:rPr>
        <w:t xml:space="preserve"> EBRD program completing more than 1,100 transactions totaling EUR 690 million, supporting cross-border trade.</w:t>
      </w:r>
    </w:p>
    <w:p w14:paraId="3858E8CB"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WTO Accession:</w:t>
      </w:r>
      <w:r w:rsidRPr="004B194E">
        <w:rPr>
          <w:rFonts w:ascii="Times New Roman" w:hAnsi="Times New Roman" w:cs="Times New Roman"/>
          <w:color w:val="000000" w:themeColor="text1"/>
        </w:rPr>
        <w:t xml:space="preserve"> In progress, will deepen global trade integration and provide rules-based trade regime.</w:t>
      </w:r>
    </w:p>
    <w:p w14:paraId="45E7729C"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Export Challenges:</w:t>
      </w:r>
    </w:p>
    <w:p w14:paraId="5B24B3B8"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Double landlocked geography creating high logistics costs</w:t>
      </w:r>
    </w:p>
    <w:p w14:paraId="2A0F8D03"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Limited regional value chain participation</w:t>
      </w:r>
    </w:p>
    <w:p w14:paraId="31A16689"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Infrastructure bottlenecks</w:t>
      </w:r>
    </w:p>
    <w:p w14:paraId="17E76353"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Product competitiveness in some sectors</w:t>
      </w:r>
    </w:p>
    <w:p w14:paraId="22DA1A8E"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Export Opportunities:</w:t>
      </w:r>
    </w:p>
    <w:p w14:paraId="2439844B"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Rapidly growing non-gold exports (textiles, pharmaceuticals, automotive parts, chemicals, processed foods)</w:t>
      </w:r>
    </w:p>
    <w:p w14:paraId="4D94E865"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Favorable commodity prices (gold, cotton, natural gas, copper)</w:t>
      </w:r>
    </w:p>
    <w:p w14:paraId="64A4388A"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Regional integration improving</w:t>
      </w:r>
    </w:p>
    <w:p w14:paraId="0B19FBC6"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GSP+ access to EU (achieved after abolition of forced/child labor in cotton)</w:t>
      </w:r>
    </w:p>
    <w:p w14:paraId="7EDC9525" w14:textId="77777777" w:rsidR="008E5991" w:rsidRPr="004B194E" w:rsidRDefault="008E5991" w:rsidP="0000333D">
      <w:pPr>
        <w:spacing w:before="120" w:after="120"/>
        <w:jc w:val="both"/>
        <w:rPr>
          <w:rFonts w:ascii="Times New Roman" w:hAnsi="Times New Roman" w:cs="Times New Roman"/>
          <w:color w:val="000000" w:themeColor="text1"/>
        </w:rPr>
      </w:pPr>
    </w:p>
    <w:p w14:paraId="0657B559" w14:textId="77777777" w:rsidR="004D213B" w:rsidRDefault="004D213B" w:rsidP="0000333D">
      <w:pPr>
        <w:pStyle w:val="Heading1"/>
        <w:jc w:val="both"/>
        <w:sectPr w:rsidR="004D213B" w:rsidSect="00034616">
          <w:pgSz w:w="12240" w:h="15840"/>
          <w:pgMar w:top="1440" w:right="1800" w:bottom="1440" w:left="1800" w:header="720" w:footer="720" w:gutter="0"/>
          <w:cols w:space="720"/>
          <w:docGrid w:linePitch="360"/>
        </w:sectPr>
      </w:pPr>
    </w:p>
    <w:p w14:paraId="6F52B1D0" w14:textId="77777777" w:rsidR="008E5991" w:rsidRPr="004B194E" w:rsidRDefault="00000000" w:rsidP="0000333D">
      <w:pPr>
        <w:pStyle w:val="Heading1"/>
        <w:jc w:val="both"/>
      </w:pPr>
      <w:r w:rsidRPr="004B194E">
        <w:lastRenderedPageBreak/>
        <w:t>10. RISK ASSESSMENT</w:t>
      </w:r>
    </w:p>
    <w:p w14:paraId="527C5EB0"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10.1 Macroeconomic and External Risks</w:t>
      </w:r>
    </w:p>
    <w:p w14:paraId="084975F6"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Table 17: Key Downside Risks</w:t>
      </w:r>
    </w:p>
    <w:tbl>
      <w:tblPr>
        <w:tblStyle w:val="LightGrid-Accent1"/>
        <w:tblW w:w="0" w:type="auto"/>
        <w:tblLook w:val="04A0" w:firstRow="1" w:lastRow="0" w:firstColumn="1" w:lastColumn="0" w:noHBand="0" w:noVBand="1"/>
      </w:tblPr>
      <w:tblGrid>
        <w:gridCol w:w="2160"/>
        <w:gridCol w:w="2160"/>
        <w:gridCol w:w="2160"/>
        <w:gridCol w:w="2160"/>
      </w:tblGrid>
      <w:tr w:rsidR="004B194E" w:rsidRPr="004B194E" w14:paraId="421F208B" w14:textId="77777777" w:rsidTr="008E5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53F00B0"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Risk Category</w:t>
            </w:r>
          </w:p>
        </w:tc>
        <w:tc>
          <w:tcPr>
            <w:tcW w:w="2160" w:type="dxa"/>
          </w:tcPr>
          <w:p w14:paraId="5D0A1AC1"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Likelihood</w:t>
            </w:r>
          </w:p>
        </w:tc>
        <w:tc>
          <w:tcPr>
            <w:tcW w:w="2160" w:type="dxa"/>
          </w:tcPr>
          <w:p w14:paraId="67B14E81"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Impact</w:t>
            </w:r>
          </w:p>
        </w:tc>
        <w:tc>
          <w:tcPr>
            <w:tcW w:w="2160" w:type="dxa"/>
          </w:tcPr>
          <w:p w14:paraId="181D9663"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Description and Implications</w:t>
            </w:r>
          </w:p>
        </w:tc>
      </w:tr>
      <w:tr w:rsidR="004B194E" w:rsidRPr="004B194E" w14:paraId="5B2C6246"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F304066"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**Prolonged Trade Policy Shocks and Global Trade Uncertainty**</w:t>
            </w:r>
          </w:p>
        </w:tc>
        <w:tc>
          <w:tcPr>
            <w:tcW w:w="2160" w:type="dxa"/>
          </w:tcPr>
          <w:p w14:paraId="392362F8"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Medium-High</w:t>
            </w:r>
          </w:p>
        </w:tc>
        <w:tc>
          <w:tcPr>
            <w:tcW w:w="2160" w:type="dxa"/>
          </w:tcPr>
          <w:p w14:paraId="1D989CBD"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High</w:t>
            </w:r>
          </w:p>
        </w:tc>
        <w:tc>
          <w:tcPr>
            <w:tcW w:w="2160" w:type="dxa"/>
          </w:tcPr>
          <w:p w14:paraId="02C1AD92"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Elevated global trade policy uncertainty and potential tariffs could reduce export demand, disrupt supply chains, and slow WTO accession benefits. Double landlocked geography amplifies vulnerability.</w:t>
            </w:r>
          </w:p>
        </w:tc>
      </w:tr>
      <w:tr w:rsidR="004B194E" w:rsidRPr="004B194E" w14:paraId="623B427D"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C30607"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**Volatile and Unfavorable Commodity Prices**</w:t>
            </w:r>
          </w:p>
        </w:tc>
        <w:tc>
          <w:tcPr>
            <w:tcW w:w="2160" w:type="dxa"/>
          </w:tcPr>
          <w:p w14:paraId="64CB08EB"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Medium</w:t>
            </w:r>
          </w:p>
        </w:tc>
        <w:tc>
          <w:tcPr>
            <w:tcW w:w="2160" w:type="dxa"/>
          </w:tcPr>
          <w:p w14:paraId="5C21F90F"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High</w:t>
            </w:r>
          </w:p>
        </w:tc>
        <w:tc>
          <w:tcPr>
            <w:tcW w:w="2160" w:type="dxa"/>
          </w:tcPr>
          <w:p w14:paraId="1E5C9E8D"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Exposure to gold, cotton, natural gas, copper prices. Volatility impacts export revenues and fiscal position. Gold price procyclical spending would undermine inflation control.</w:t>
            </w:r>
          </w:p>
        </w:tc>
      </w:tr>
      <w:tr w:rsidR="004B194E" w:rsidRPr="004B194E" w14:paraId="0F81EEFE"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72A941"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**Tighter External Financing Conditions**</w:t>
            </w:r>
          </w:p>
        </w:tc>
        <w:tc>
          <w:tcPr>
            <w:tcW w:w="2160" w:type="dxa"/>
          </w:tcPr>
          <w:p w14:paraId="47D3CF0C"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Medium</w:t>
            </w:r>
          </w:p>
        </w:tc>
        <w:tc>
          <w:tcPr>
            <w:tcW w:w="2160" w:type="dxa"/>
          </w:tcPr>
          <w:p w14:paraId="23BACE30"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High</w:t>
            </w:r>
          </w:p>
        </w:tc>
        <w:tc>
          <w:tcPr>
            <w:tcW w:w="2160" w:type="dxa"/>
          </w:tcPr>
          <w:p w14:paraId="5084BE36"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Shifts in global risk sentiment could reduce capital inflows, increase borrowing costs, strain PPP financing. Sub-investment grade ratings create vulnerability.</w:t>
            </w:r>
          </w:p>
        </w:tc>
      </w:tr>
      <w:tr w:rsidR="004B194E" w:rsidRPr="004B194E" w14:paraId="1BCA6FE5"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BA43CB"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**Weaker External Demand from Trading Partners**</w:t>
            </w:r>
          </w:p>
        </w:tc>
        <w:tc>
          <w:tcPr>
            <w:tcW w:w="2160" w:type="dxa"/>
          </w:tcPr>
          <w:p w14:paraId="32C77B18"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Medium</w:t>
            </w:r>
          </w:p>
        </w:tc>
        <w:tc>
          <w:tcPr>
            <w:tcW w:w="2160" w:type="dxa"/>
          </w:tcPr>
          <w:p w14:paraId="29CA11F9"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Medium-High</w:t>
            </w:r>
          </w:p>
        </w:tc>
        <w:tc>
          <w:tcPr>
            <w:tcW w:w="2160" w:type="dxa"/>
          </w:tcPr>
          <w:p w14:paraId="48205785"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 xml:space="preserve">Slower growth in Russia, China, EU would reduce export growth and remittance inflows. </w:t>
            </w:r>
            <w:r w:rsidRPr="004B194E">
              <w:rPr>
                <w:rFonts w:ascii="Times New Roman" w:hAnsi="Times New Roman" w:cs="Times New Roman"/>
                <w:color w:val="000000" w:themeColor="text1"/>
              </w:rPr>
              <w:lastRenderedPageBreak/>
              <w:t>Russia particularly important for remittances.</w:t>
            </w:r>
          </w:p>
        </w:tc>
      </w:tr>
      <w:tr w:rsidR="004B194E" w:rsidRPr="004B194E" w14:paraId="59A38F21"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337138"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lastRenderedPageBreak/>
              <w:t>**Regional Geopolitical Tensions**</w:t>
            </w:r>
          </w:p>
        </w:tc>
        <w:tc>
          <w:tcPr>
            <w:tcW w:w="2160" w:type="dxa"/>
          </w:tcPr>
          <w:p w14:paraId="108B40B2"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Medium</w:t>
            </w:r>
          </w:p>
        </w:tc>
        <w:tc>
          <w:tcPr>
            <w:tcW w:w="2160" w:type="dxa"/>
          </w:tcPr>
          <w:p w14:paraId="493DADDA"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Medium</w:t>
            </w:r>
          </w:p>
        </w:tc>
        <w:tc>
          <w:tcPr>
            <w:tcW w:w="2160" w:type="dxa"/>
          </w:tcPr>
          <w:p w14:paraId="5E435F15"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Security concerns or regional tensions could disrupt trade, reduce investor confidence, impact regional connectivity projects (CKU railway).</w:t>
            </w:r>
          </w:p>
        </w:tc>
      </w:tr>
      <w:tr w:rsidR="004B194E" w:rsidRPr="004B194E" w14:paraId="3B2ADD12"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2B6D168"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**Climate-Related Risks**</w:t>
            </w:r>
          </w:p>
        </w:tc>
        <w:tc>
          <w:tcPr>
            <w:tcW w:w="2160" w:type="dxa"/>
          </w:tcPr>
          <w:p w14:paraId="6A8C7C9D"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Medium-High</w:t>
            </w:r>
          </w:p>
        </w:tc>
        <w:tc>
          <w:tcPr>
            <w:tcW w:w="2160" w:type="dxa"/>
          </w:tcPr>
          <w:p w14:paraId="2A957A5D"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High</w:t>
            </w:r>
          </w:p>
        </w:tc>
        <w:tc>
          <w:tcPr>
            <w:tcW w:w="2160" w:type="dxa"/>
          </w:tcPr>
          <w:p w14:paraId="438407C5"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Water stress, natural disasters, environmental degradation impacting agriculture (20.6% of GDP) and productivity. Climate adaptation critical.</w:t>
            </w:r>
          </w:p>
        </w:tc>
      </w:tr>
    </w:tbl>
    <w:p w14:paraId="766FC078" w14:textId="77777777" w:rsidR="008E5991" w:rsidRPr="004B194E" w:rsidRDefault="008E5991" w:rsidP="0000333D">
      <w:pPr>
        <w:jc w:val="both"/>
        <w:rPr>
          <w:rFonts w:ascii="Times New Roman" w:hAnsi="Times New Roman" w:cs="Times New Roman"/>
          <w:color w:val="000000" w:themeColor="text1"/>
        </w:rPr>
      </w:pPr>
    </w:p>
    <w:p w14:paraId="3837BFFE"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10.2 Fiscal and Contingent Liability Risks</w:t>
      </w:r>
    </w:p>
    <w:p w14:paraId="4DCD4B9D"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Table 18: Fiscal and Contingent Liability Risks</w:t>
      </w:r>
    </w:p>
    <w:tbl>
      <w:tblPr>
        <w:tblStyle w:val="LightGrid-Accent1"/>
        <w:tblW w:w="0" w:type="auto"/>
        <w:tblLook w:val="04A0" w:firstRow="1" w:lastRow="0" w:firstColumn="1" w:lastColumn="0" w:noHBand="0" w:noVBand="1"/>
      </w:tblPr>
      <w:tblGrid>
        <w:gridCol w:w="2160"/>
        <w:gridCol w:w="2160"/>
        <w:gridCol w:w="2160"/>
        <w:gridCol w:w="2160"/>
      </w:tblGrid>
      <w:tr w:rsidR="004B194E" w:rsidRPr="004B194E" w14:paraId="47C66AB9" w14:textId="77777777" w:rsidTr="008E5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7DAA5CB"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Risk Category</w:t>
            </w:r>
          </w:p>
        </w:tc>
        <w:tc>
          <w:tcPr>
            <w:tcW w:w="2160" w:type="dxa"/>
          </w:tcPr>
          <w:p w14:paraId="7A173BD4"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Likelihood</w:t>
            </w:r>
          </w:p>
        </w:tc>
        <w:tc>
          <w:tcPr>
            <w:tcW w:w="2160" w:type="dxa"/>
          </w:tcPr>
          <w:p w14:paraId="685F211C"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Impact</w:t>
            </w:r>
          </w:p>
        </w:tc>
        <w:tc>
          <w:tcPr>
            <w:tcW w:w="2160" w:type="dxa"/>
          </w:tcPr>
          <w:p w14:paraId="24861AFF"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Description and Implications</w:t>
            </w:r>
          </w:p>
        </w:tc>
      </w:tr>
      <w:tr w:rsidR="004B194E" w:rsidRPr="004B194E" w14:paraId="1A425E7C"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1F91CFE"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**Contingent Liabilities from PPPs**</w:t>
            </w:r>
          </w:p>
        </w:tc>
        <w:tc>
          <w:tcPr>
            <w:tcW w:w="2160" w:type="dxa"/>
          </w:tcPr>
          <w:p w14:paraId="6CD9F152"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Medium</w:t>
            </w:r>
          </w:p>
        </w:tc>
        <w:tc>
          <w:tcPr>
            <w:tcW w:w="2160" w:type="dxa"/>
          </w:tcPr>
          <w:p w14:paraId="000BC7B6"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High</w:t>
            </w:r>
          </w:p>
        </w:tc>
        <w:tc>
          <w:tcPr>
            <w:tcW w:w="2160" w:type="dxa"/>
          </w:tcPr>
          <w:p w14:paraId="5EF93A67"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PPP portfolio ~27% of GDP (USD 31bn) with potential commitments up to 34% GDP. Materialization would require fiscal support, strain debt sustainability. FRAD monitoring critical.</w:t>
            </w:r>
          </w:p>
        </w:tc>
      </w:tr>
      <w:tr w:rsidR="004B194E" w:rsidRPr="004B194E" w14:paraId="6CBE172B"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F2F6CB9"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**Contingent Liabilities from SOEs**</w:t>
            </w:r>
          </w:p>
        </w:tc>
        <w:tc>
          <w:tcPr>
            <w:tcW w:w="2160" w:type="dxa"/>
          </w:tcPr>
          <w:p w14:paraId="596ADF74"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Medium</w:t>
            </w:r>
          </w:p>
        </w:tc>
        <w:tc>
          <w:tcPr>
            <w:tcW w:w="2160" w:type="dxa"/>
          </w:tcPr>
          <w:p w14:paraId="740B54DB"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High</w:t>
            </w:r>
          </w:p>
        </w:tc>
        <w:tc>
          <w:tcPr>
            <w:tcW w:w="2160" w:type="dxa"/>
          </w:tcPr>
          <w:p w14:paraId="71C34F17"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 xml:space="preserve">SOE financial distress potentially requiring government support. State bank exposures to SOEs create financial sector linkages. SOE reform and privatization </w:t>
            </w:r>
            <w:r w:rsidRPr="004B194E">
              <w:rPr>
                <w:rFonts w:ascii="Times New Roman" w:hAnsi="Times New Roman" w:cs="Times New Roman"/>
                <w:color w:val="000000" w:themeColor="text1"/>
              </w:rPr>
              <w:lastRenderedPageBreak/>
              <w:t>urgent.</w:t>
            </w:r>
          </w:p>
        </w:tc>
      </w:tr>
      <w:tr w:rsidR="004B194E" w:rsidRPr="004B194E" w14:paraId="4066B7ED"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8BC987"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lastRenderedPageBreak/>
              <w:t>**Contingent Liabilities from State Banks**</w:t>
            </w:r>
          </w:p>
        </w:tc>
        <w:tc>
          <w:tcPr>
            <w:tcW w:w="2160" w:type="dxa"/>
          </w:tcPr>
          <w:p w14:paraId="34BF1217"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Medium</w:t>
            </w:r>
          </w:p>
        </w:tc>
        <w:tc>
          <w:tcPr>
            <w:tcW w:w="2160" w:type="dxa"/>
          </w:tcPr>
          <w:p w14:paraId="2125D23A"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Medium-High</w:t>
            </w:r>
          </w:p>
        </w:tc>
        <w:tc>
          <w:tcPr>
            <w:tcW w:w="2160" w:type="dxa"/>
          </w:tcPr>
          <w:p w14:paraId="42FEB4B1"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State-owned commercial banks may require government support if asset quality deteriorates or capital needs arise. Banking sector supervision strengthening essential.</w:t>
            </w:r>
          </w:p>
        </w:tc>
      </w:tr>
    </w:tbl>
    <w:p w14:paraId="3FAADFD5" w14:textId="77777777" w:rsidR="008E5991" w:rsidRPr="004B194E" w:rsidRDefault="008E5991" w:rsidP="0000333D">
      <w:pPr>
        <w:jc w:val="both"/>
        <w:rPr>
          <w:rFonts w:ascii="Times New Roman" w:hAnsi="Times New Roman" w:cs="Times New Roman"/>
          <w:color w:val="000000" w:themeColor="text1"/>
        </w:rPr>
      </w:pPr>
    </w:p>
    <w:p w14:paraId="1959B4F7"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DSA Risk Rating:</w:t>
      </w:r>
      <w:r w:rsidRPr="004B194E">
        <w:rPr>
          <w:rFonts w:ascii="Times New Roman" w:hAnsi="Times New Roman" w:cs="Times New Roman"/>
          <w:color w:val="000000" w:themeColor="text1"/>
        </w:rPr>
        <w:t xml:space="preserve"> Moderate. Debt assessed as sustainable with moderate risks. Public debt moderate at approximately 33% of GDP. However, contingent liabilities from PPPs (27% GDP) and SOEs add significantly to fiscal risks. External debt 54-56% of GDP manageable but requires monitoring.</w:t>
      </w:r>
    </w:p>
    <w:p w14:paraId="21801F41"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Gross Financing Needs:</w:t>
      </w:r>
      <w:r w:rsidRPr="004B194E">
        <w:rPr>
          <w:rFonts w:ascii="Times New Roman" w:hAnsi="Times New Roman" w:cs="Times New Roman"/>
          <w:color w:val="000000" w:themeColor="text1"/>
        </w:rPr>
        <w:t xml:space="preserve"> Characterized as manageable. External financing needs met through mix of multilateral lending, bilateral support, and emerging market access as ratings improve.</w:t>
      </w:r>
    </w:p>
    <w:p w14:paraId="4B3BCAF1"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Stress Test Vulnerabilities:</w:t>
      </w:r>
    </w:p>
    <w:p w14:paraId="4FE56095"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Commodity price shocks (gold, cotton, gas exports)</w:t>
      </w:r>
    </w:p>
    <w:p w14:paraId="2DB71696"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Tighter external financing increasing borrowing costs</w:t>
      </w:r>
    </w:p>
    <w:p w14:paraId="63EA45E4"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Contingent liability materialization from PPPs/SOEs</w:t>
      </w:r>
    </w:p>
    <w:p w14:paraId="2D882E05"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Slower growth from reform delays</w:t>
      </w:r>
    </w:p>
    <w:p w14:paraId="5C5A48C3"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Exchange rate depreciation impacting external debt servicing</w:t>
      </w:r>
    </w:p>
    <w:p w14:paraId="0EA63D9B"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Mitigating Factors:</w:t>
      </w:r>
    </w:p>
    <w:p w14:paraId="1A9611D7"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Moderate baseline debt levels (33% of GDP public debt)</w:t>
      </w:r>
    </w:p>
    <w:p w14:paraId="0A37373B"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Strong multilateral support providing financing buffers</w:t>
      </w:r>
    </w:p>
    <w:p w14:paraId="034E88E9"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Continued reform commitment supporting growth and credibility</w:t>
      </w:r>
    </w:p>
    <w:p w14:paraId="76E70824"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Fiscal consolidation path reducing deficits</w:t>
      </w:r>
    </w:p>
    <w:p w14:paraId="18304172"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Ample international reserves (9.2 months imports)</w:t>
      </w:r>
    </w:p>
    <w:p w14:paraId="0E4B8045"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10.3 Structural and Reform Risks</w:t>
      </w:r>
    </w:p>
    <w:p w14:paraId="01847FFB"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Table 19: Structural and Reform Risks</w:t>
      </w:r>
    </w:p>
    <w:tbl>
      <w:tblPr>
        <w:tblStyle w:val="LightGrid-Accent1"/>
        <w:tblW w:w="0" w:type="auto"/>
        <w:tblLook w:val="04A0" w:firstRow="1" w:lastRow="0" w:firstColumn="1" w:lastColumn="0" w:noHBand="0" w:noVBand="1"/>
      </w:tblPr>
      <w:tblGrid>
        <w:gridCol w:w="2160"/>
        <w:gridCol w:w="2160"/>
        <w:gridCol w:w="2160"/>
        <w:gridCol w:w="2160"/>
      </w:tblGrid>
      <w:tr w:rsidR="004B194E" w:rsidRPr="004B194E" w14:paraId="180ABB28" w14:textId="77777777" w:rsidTr="008E5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32E7A67"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Risk Category</w:t>
            </w:r>
          </w:p>
        </w:tc>
        <w:tc>
          <w:tcPr>
            <w:tcW w:w="2160" w:type="dxa"/>
          </w:tcPr>
          <w:p w14:paraId="391AA06E"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Likelihood</w:t>
            </w:r>
          </w:p>
        </w:tc>
        <w:tc>
          <w:tcPr>
            <w:tcW w:w="2160" w:type="dxa"/>
          </w:tcPr>
          <w:p w14:paraId="4D896730"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Impact</w:t>
            </w:r>
          </w:p>
        </w:tc>
        <w:tc>
          <w:tcPr>
            <w:tcW w:w="2160" w:type="dxa"/>
          </w:tcPr>
          <w:p w14:paraId="2B48845D"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Description and Implications</w:t>
            </w:r>
          </w:p>
        </w:tc>
      </w:tr>
      <w:tr w:rsidR="004B194E" w:rsidRPr="004B194E" w14:paraId="30206238"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BA9910"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**Slower Pace of Structural Reforms**</w:t>
            </w:r>
          </w:p>
        </w:tc>
        <w:tc>
          <w:tcPr>
            <w:tcW w:w="2160" w:type="dxa"/>
          </w:tcPr>
          <w:p w14:paraId="078EE91C"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Medium</w:t>
            </w:r>
          </w:p>
        </w:tc>
        <w:tc>
          <w:tcPr>
            <w:tcW w:w="2160" w:type="dxa"/>
          </w:tcPr>
          <w:p w14:paraId="10919909"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High</w:t>
            </w:r>
          </w:p>
        </w:tc>
        <w:tc>
          <w:tcPr>
            <w:tcW w:w="2160" w:type="dxa"/>
          </w:tcPr>
          <w:p w14:paraId="3CA8BB26"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 xml:space="preserve">Political economy constraints or implementation capacity issues could slow reforms, </w:t>
            </w:r>
            <w:r w:rsidRPr="004B194E">
              <w:rPr>
                <w:rFonts w:ascii="Times New Roman" w:hAnsi="Times New Roman" w:cs="Times New Roman"/>
                <w:color w:val="000000" w:themeColor="text1"/>
              </w:rPr>
              <w:lastRenderedPageBreak/>
              <w:t>undermining growth prospects and investor confidence. Reform momentum critical to maintain.</w:t>
            </w:r>
          </w:p>
        </w:tc>
      </w:tr>
      <w:tr w:rsidR="004B194E" w:rsidRPr="004B194E" w14:paraId="546B7842"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564C7C6"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lastRenderedPageBreak/>
              <w:t>**SOE Reform Delays**</w:t>
            </w:r>
          </w:p>
        </w:tc>
        <w:tc>
          <w:tcPr>
            <w:tcW w:w="2160" w:type="dxa"/>
          </w:tcPr>
          <w:p w14:paraId="6650D111"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Medium-High</w:t>
            </w:r>
          </w:p>
        </w:tc>
        <w:tc>
          <w:tcPr>
            <w:tcW w:w="2160" w:type="dxa"/>
          </w:tcPr>
          <w:p w14:paraId="457166B9"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Medium-High</w:t>
            </w:r>
          </w:p>
        </w:tc>
        <w:tc>
          <w:tcPr>
            <w:tcW w:w="2160" w:type="dxa"/>
          </w:tcPr>
          <w:p w14:paraId="2A7E901D"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Resistance to privatization or governance reforms could perpetuate inefficiencies, fiscal risks, market distortions. Accelerated reform needed.</w:t>
            </w:r>
          </w:p>
        </w:tc>
      </w:tr>
      <w:tr w:rsidR="004B194E" w:rsidRPr="004B194E" w14:paraId="47F7BF61"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9F16002"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**WTO Accession Delays**</w:t>
            </w:r>
          </w:p>
        </w:tc>
        <w:tc>
          <w:tcPr>
            <w:tcW w:w="2160" w:type="dxa"/>
          </w:tcPr>
          <w:p w14:paraId="7BFCF302"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Medium</w:t>
            </w:r>
          </w:p>
        </w:tc>
        <w:tc>
          <w:tcPr>
            <w:tcW w:w="2160" w:type="dxa"/>
          </w:tcPr>
          <w:p w14:paraId="32037C1A"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Medium</w:t>
            </w:r>
          </w:p>
        </w:tc>
        <w:tc>
          <w:tcPr>
            <w:tcW w:w="2160" w:type="dxa"/>
          </w:tcPr>
          <w:p w14:paraId="4ABCCC55"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Delays in completing WTO accession would slow trade integration, reduce reform pressure, limit market access benefits.</w:t>
            </w:r>
          </w:p>
        </w:tc>
      </w:tr>
      <w:tr w:rsidR="004B194E" w:rsidRPr="004B194E" w14:paraId="61809468"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675D8AA"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**Governance Challenges**</w:t>
            </w:r>
          </w:p>
        </w:tc>
        <w:tc>
          <w:tcPr>
            <w:tcW w:w="2160" w:type="dxa"/>
          </w:tcPr>
          <w:p w14:paraId="72059EDD"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Medium-High</w:t>
            </w:r>
          </w:p>
        </w:tc>
        <w:tc>
          <w:tcPr>
            <w:tcW w:w="2160" w:type="dxa"/>
          </w:tcPr>
          <w:p w14:paraId="5CAC6B76"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Medium</w:t>
            </w:r>
          </w:p>
        </w:tc>
        <w:tc>
          <w:tcPr>
            <w:tcW w:w="2160" w:type="dxa"/>
          </w:tcPr>
          <w:p w14:paraId="5DA36C5A"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Remaining corruption issues (ranked 121/180 TI CPI 2024), judicial independence weaknesses, transparency gaps could deter FDI despite improvements.</w:t>
            </w:r>
          </w:p>
        </w:tc>
      </w:tr>
    </w:tbl>
    <w:p w14:paraId="1CCA4036" w14:textId="77777777" w:rsidR="008E5991" w:rsidRPr="004B194E" w:rsidRDefault="008E5991" w:rsidP="0000333D">
      <w:pPr>
        <w:jc w:val="both"/>
        <w:rPr>
          <w:rFonts w:ascii="Times New Roman" w:hAnsi="Times New Roman" w:cs="Times New Roman"/>
          <w:color w:val="000000" w:themeColor="text1"/>
        </w:rPr>
      </w:pPr>
    </w:p>
    <w:p w14:paraId="160E16B6"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10.4 Financial Sector Risks</w:t>
      </w:r>
    </w:p>
    <w:p w14:paraId="3589F559"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Table 20: Financial Sector Risks</w:t>
      </w:r>
    </w:p>
    <w:tbl>
      <w:tblPr>
        <w:tblStyle w:val="LightGrid-Accent1"/>
        <w:tblW w:w="0" w:type="auto"/>
        <w:tblLook w:val="04A0" w:firstRow="1" w:lastRow="0" w:firstColumn="1" w:lastColumn="0" w:noHBand="0" w:noVBand="1"/>
      </w:tblPr>
      <w:tblGrid>
        <w:gridCol w:w="2160"/>
        <w:gridCol w:w="2160"/>
        <w:gridCol w:w="2160"/>
        <w:gridCol w:w="2160"/>
      </w:tblGrid>
      <w:tr w:rsidR="004B194E" w:rsidRPr="004B194E" w14:paraId="253E0125" w14:textId="77777777" w:rsidTr="008E5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9617C6"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Risk Category</w:t>
            </w:r>
          </w:p>
        </w:tc>
        <w:tc>
          <w:tcPr>
            <w:tcW w:w="2160" w:type="dxa"/>
          </w:tcPr>
          <w:p w14:paraId="011AC280"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Likelihood</w:t>
            </w:r>
          </w:p>
        </w:tc>
        <w:tc>
          <w:tcPr>
            <w:tcW w:w="2160" w:type="dxa"/>
          </w:tcPr>
          <w:p w14:paraId="7AA46B7C"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Impact</w:t>
            </w:r>
          </w:p>
        </w:tc>
        <w:tc>
          <w:tcPr>
            <w:tcW w:w="2160" w:type="dxa"/>
          </w:tcPr>
          <w:p w14:paraId="10BC5CBA"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Description and Implications</w:t>
            </w:r>
          </w:p>
        </w:tc>
      </w:tr>
      <w:tr w:rsidR="004B194E" w:rsidRPr="004B194E" w14:paraId="3065347F"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BEBD69"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**Banking Sector Stress from Rapid Credit Growth**</w:t>
            </w:r>
          </w:p>
        </w:tc>
        <w:tc>
          <w:tcPr>
            <w:tcW w:w="2160" w:type="dxa"/>
          </w:tcPr>
          <w:p w14:paraId="6E753E3B"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Medium</w:t>
            </w:r>
          </w:p>
        </w:tc>
        <w:tc>
          <w:tcPr>
            <w:tcW w:w="2160" w:type="dxa"/>
          </w:tcPr>
          <w:p w14:paraId="22E15C84"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Medium-High</w:t>
            </w:r>
          </w:p>
        </w:tc>
        <w:tc>
          <w:tcPr>
            <w:tcW w:w="2160" w:type="dxa"/>
          </w:tcPr>
          <w:p w14:paraId="3AA6E9D4"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 xml:space="preserve">Credit growth volatility (21-23% in 2022-2023, then 4% in 2024, projected 19% in 2025) creates asset quality risks. </w:t>
            </w:r>
            <w:r w:rsidRPr="004B194E">
              <w:rPr>
                <w:rFonts w:ascii="Times New Roman" w:hAnsi="Times New Roman" w:cs="Times New Roman"/>
                <w:color w:val="000000" w:themeColor="text1"/>
              </w:rPr>
              <w:lastRenderedPageBreak/>
              <w:t>Supervision strengthening per FSAP critical.</w:t>
            </w:r>
          </w:p>
        </w:tc>
      </w:tr>
      <w:tr w:rsidR="004B194E" w:rsidRPr="004B194E" w14:paraId="48E70714"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59BB4BE"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lastRenderedPageBreak/>
              <w:t>**Deteriorating Asset Quality**</w:t>
            </w:r>
          </w:p>
        </w:tc>
        <w:tc>
          <w:tcPr>
            <w:tcW w:w="2160" w:type="dxa"/>
          </w:tcPr>
          <w:p w14:paraId="3171B73D"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Medium</w:t>
            </w:r>
          </w:p>
        </w:tc>
        <w:tc>
          <w:tcPr>
            <w:tcW w:w="2160" w:type="dxa"/>
          </w:tcPr>
          <w:p w14:paraId="728F6D4F"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Medium-High</w:t>
            </w:r>
          </w:p>
        </w:tc>
        <w:tc>
          <w:tcPr>
            <w:tcW w:w="2160" w:type="dxa"/>
          </w:tcPr>
          <w:p w14:paraId="03615ADA"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NPL reporting needs strengthening. Rapid microcredit growth posing particular risks. Additional macroprudential measures needed.</w:t>
            </w:r>
          </w:p>
        </w:tc>
      </w:tr>
      <w:tr w:rsidR="004B194E" w:rsidRPr="004B194E" w14:paraId="594B404A"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20778B5"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**SOE/SOCB-Related Exposures**</w:t>
            </w:r>
          </w:p>
        </w:tc>
        <w:tc>
          <w:tcPr>
            <w:tcW w:w="2160" w:type="dxa"/>
          </w:tcPr>
          <w:p w14:paraId="53AEADEA"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Medium-High</w:t>
            </w:r>
          </w:p>
        </w:tc>
        <w:tc>
          <w:tcPr>
            <w:tcW w:w="2160" w:type="dxa"/>
          </w:tcPr>
          <w:p w14:paraId="6F52D501"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High</w:t>
            </w:r>
          </w:p>
        </w:tc>
        <w:tc>
          <w:tcPr>
            <w:tcW w:w="2160" w:type="dxa"/>
          </w:tcPr>
          <w:p w14:paraId="57C26FE3"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State bank exposures to SOEs create concentrated risks. Directed lending being phased out but legacy exposures remain. Commercial orientation and privatization urgent.</w:t>
            </w:r>
          </w:p>
        </w:tc>
      </w:tr>
      <w:tr w:rsidR="004B194E" w:rsidRPr="004B194E" w14:paraId="21162782"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6EE3525"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**Limited Hedging Markets**</w:t>
            </w:r>
          </w:p>
        </w:tc>
        <w:tc>
          <w:tcPr>
            <w:tcW w:w="2160" w:type="dxa"/>
          </w:tcPr>
          <w:p w14:paraId="6B79933F"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Medium</w:t>
            </w:r>
          </w:p>
        </w:tc>
        <w:tc>
          <w:tcPr>
            <w:tcW w:w="2160" w:type="dxa"/>
          </w:tcPr>
          <w:p w14:paraId="3212CAAE"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Medium</w:t>
            </w:r>
          </w:p>
        </w:tc>
        <w:tc>
          <w:tcPr>
            <w:tcW w:w="2160" w:type="dxa"/>
          </w:tcPr>
          <w:p w14:paraId="15F6332E"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Shallow local currency hedging market creates FX risk for domestic currency financing. Major projects typically USD-denominated, creating currency mismatches for some borrowers.</w:t>
            </w:r>
          </w:p>
        </w:tc>
      </w:tr>
    </w:tbl>
    <w:p w14:paraId="69F657C0" w14:textId="77777777" w:rsidR="008E5991" w:rsidRPr="004B194E" w:rsidRDefault="008E5991" w:rsidP="0000333D">
      <w:pPr>
        <w:jc w:val="both"/>
        <w:rPr>
          <w:rFonts w:ascii="Times New Roman" w:hAnsi="Times New Roman" w:cs="Times New Roman"/>
          <w:color w:val="000000" w:themeColor="text1"/>
        </w:rPr>
      </w:pPr>
    </w:p>
    <w:p w14:paraId="2A91636D"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Financial Sector Soundness:</w:t>
      </w:r>
      <w:r w:rsidRPr="004B194E">
        <w:rPr>
          <w:rFonts w:ascii="Times New Roman" w:hAnsi="Times New Roman" w:cs="Times New Roman"/>
          <w:color w:val="000000" w:themeColor="text1"/>
        </w:rPr>
        <w:t xml:space="preserve"> Overall, banking sector remains well-capitalized, liquid, and profitable. However, the FSAP identified multiple areas requiring strengthening, and authorities are implementing recommendations as a priority.</w:t>
      </w:r>
    </w:p>
    <w:p w14:paraId="26A01E0C"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10.5 Social and Political Risks</w:t>
      </w:r>
    </w:p>
    <w:p w14:paraId="67AD76D7"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Table 21: Social and Political Risks</w:t>
      </w:r>
    </w:p>
    <w:tbl>
      <w:tblPr>
        <w:tblStyle w:val="LightGrid-Accent1"/>
        <w:tblW w:w="0" w:type="auto"/>
        <w:tblLook w:val="04A0" w:firstRow="1" w:lastRow="0" w:firstColumn="1" w:lastColumn="0" w:noHBand="0" w:noVBand="1"/>
      </w:tblPr>
      <w:tblGrid>
        <w:gridCol w:w="2160"/>
        <w:gridCol w:w="2160"/>
        <w:gridCol w:w="2160"/>
        <w:gridCol w:w="2160"/>
      </w:tblGrid>
      <w:tr w:rsidR="004B194E" w:rsidRPr="004B194E" w14:paraId="6FCDB7E2" w14:textId="77777777" w:rsidTr="008E5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4B51710"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Risk Category</w:t>
            </w:r>
          </w:p>
        </w:tc>
        <w:tc>
          <w:tcPr>
            <w:tcW w:w="2160" w:type="dxa"/>
          </w:tcPr>
          <w:p w14:paraId="32426514"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Likelihood</w:t>
            </w:r>
          </w:p>
        </w:tc>
        <w:tc>
          <w:tcPr>
            <w:tcW w:w="2160" w:type="dxa"/>
          </w:tcPr>
          <w:p w14:paraId="382C86CF"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Impact</w:t>
            </w:r>
          </w:p>
        </w:tc>
        <w:tc>
          <w:tcPr>
            <w:tcW w:w="2160" w:type="dxa"/>
          </w:tcPr>
          <w:p w14:paraId="1F3C852C"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Description and Implications</w:t>
            </w:r>
          </w:p>
        </w:tc>
      </w:tr>
      <w:tr w:rsidR="004B194E" w:rsidRPr="004B194E" w14:paraId="2E041E01"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2143D35"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**Social Tensions from Inequality, Unemployment, or </w:t>
            </w:r>
            <w:r w:rsidRPr="004B194E">
              <w:rPr>
                <w:rFonts w:ascii="Times New Roman" w:hAnsi="Times New Roman" w:cs="Times New Roman"/>
                <w:color w:val="000000" w:themeColor="text1"/>
              </w:rPr>
              <w:lastRenderedPageBreak/>
              <w:t>Reform Fatigue**</w:t>
            </w:r>
          </w:p>
        </w:tc>
        <w:tc>
          <w:tcPr>
            <w:tcW w:w="2160" w:type="dxa"/>
          </w:tcPr>
          <w:p w14:paraId="1D7CE782"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lastRenderedPageBreak/>
              <w:t>Medium</w:t>
            </w:r>
          </w:p>
        </w:tc>
        <w:tc>
          <w:tcPr>
            <w:tcW w:w="2160" w:type="dxa"/>
          </w:tcPr>
          <w:p w14:paraId="5BCA241E"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Medium</w:t>
            </w:r>
          </w:p>
        </w:tc>
        <w:tc>
          <w:tcPr>
            <w:tcW w:w="2160" w:type="dxa"/>
          </w:tcPr>
          <w:p w14:paraId="74D86E15"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 xml:space="preserve">Youth unemployment 13.8%; female labor force participation </w:t>
            </w:r>
            <w:r w:rsidRPr="004B194E">
              <w:rPr>
                <w:rFonts w:ascii="Times New Roman" w:hAnsi="Times New Roman" w:cs="Times New Roman"/>
                <w:color w:val="000000" w:themeColor="text1"/>
              </w:rPr>
              <w:lastRenderedPageBreak/>
              <w:t>40% (low); regional disparities; poverty 8.9% despite improvement. Social cohesion important for reform momentum.</w:t>
            </w:r>
          </w:p>
        </w:tc>
      </w:tr>
      <w:tr w:rsidR="004B194E" w:rsidRPr="004B194E" w14:paraId="0B828D45"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FFE84C"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lastRenderedPageBreak/>
              <w:t>**Skills Mismatches and Youth Unemployment**</w:t>
            </w:r>
          </w:p>
        </w:tc>
        <w:tc>
          <w:tcPr>
            <w:tcW w:w="2160" w:type="dxa"/>
          </w:tcPr>
          <w:p w14:paraId="6A7FA6F0"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High</w:t>
            </w:r>
          </w:p>
        </w:tc>
        <w:tc>
          <w:tcPr>
            <w:tcW w:w="2160" w:type="dxa"/>
          </w:tcPr>
          <w:p w14:paraId="3E3444CA"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Medium</w:t>
            </w:r>
          </w:p>
        </w:tc>
        <w:tc>
          <w:tcPr>
            <w:tcW w:w="2160" w:type="dxa"/>
          </w:tcPr>
          <w:p w14:paraId="763FE008"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~500,000 annual new labor market entrants; youth unemployment elevated; skills mismatches. Job creation and training critical for social stability and growth.</w:t>
            </w:r>
          </w:p>
        </w:tc>
      </w:tr>
      <w:tr w:rsidR="004B194E" w:rsidRPr="004B194E" w14:paraId="79CA0A76"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A723502"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**Regional Economic Disparities**</w:t>
            </w:r>
          </w:p>
        </w:tc>
        <w:tc>
          <w:tcPr>
            <w:tcW w:w="2160" w:type="dxa"/>
          </w:tcPr>
          <w:p w14:paraId="7A685641"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Medium-High</w:t>
            </w:r>
          </w:p>
        </w:tc>
        <w:tc>
          <w:tcPr>
            <w:tcW w:w="2160" w:type="dxa"/>
          </w:tcPr>
          <w:p w14:paraId="0FC1F53A"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Medium</w:t>
            </w:r>
          </w:p>
        </w:tc>
        <w:tc>
          <w:tcPr>
            <w:tcW w:w="2160" w:type="dxa"/>
          </w:tcPr>
          <w:p w14:paraId="1EE95E0E"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Economic gaps between Tashkent and other regions; rural poverty; uneven development. Regional development initiatives needed.</w:t>
            </w:r>
          </w:p>
        </w:tc>
      </w:tr>
    </w:tbl>
    <w:p w14:paraId="570046BA" w14:textId="77777777" w:rsidR="008E5991" w:rsidRPr="004B194E" w:rsidRDefault="008E5991" w:rsidP="0000333D">
      <w:pPr>
        <w:jc w:val="both"/>
        <w:rPr>
          <w:rFonts w:ascii="Times New Roman" w:hAnsi="Times New Roman" w:cs="Times New Roman"/>
          <w:color w:val="000000" w:themeColor="text1"/>
        </w:rPr>
      </w:pPr>
    </w:p>
    <w:p w14:paraId="40A64322"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Political Risk Assessment:</w:t>
      </w:r>
      <w:r w:rsidRPr="004B194E">
        <w:rPr>
          <w:rFonts w:ascii="Times New Roman" w:hAnsi="Times New Roman" w:cs="Times New Roman"/>
          <w:color w:val="000000" w:themeColor="text1"/>
        </w:rPr>
        <w:t xml:space="preserve"> Moderate and improving. Political support for reforms is strong, with President Mirziyoyev re-elected 2021, Parliament 2024 elections supporting reform agenda, and Development Strategy 2022-2026 providing medium-term framework.</w:t>
      </w:r>
    </w:p>
    <w:p w14:paraId="456A48F7"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However, risks include:</w:t>
      </w:r>
    </w:p>
    <w:p w14:paraId="197E0EDD"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Political economy constraints and limited government capacity hindering complex reforms</w:t>
      </w:r>
    </w:p>
    <w:p w14:paraId="140CF3AD"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Reform progress uneven (more consistent 2018-2021, slower and patchier in second part of previous strategy)</w:t>
      </w:r>
    </w:p>
    <w:p w14:paraId="4FED00F3"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Frequent bureaucratic delays</w:t>
      </w:r>
    </w:p>
    <w:p w14:paraId="524A4098"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Corruption 121/180 (TI 2024) though improving</w:t>
      </w:r>
    </w:p>
    <w:p w14:paraId="059CEAA7"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Judicial independence still developing</w:t>
      </w:r>
    </w:p>
    <w:p w14:paraId="6FE2BD91"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Positive factors:</w:t>
      </w:r>
    </w:p>
    <w:p w14:paraId="688F46A7"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Strong continuity with Mirziyoyev administration</w:t>
      </w:r>
    </w:p>
    <w:p w14:paraId="5B9672EC"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Broad reform support</w:t>
      </w:r>
    </w:p>
    <w:p w14:paraId="35C3A40C"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Foreign Investors Council 2022 providing engagement channel</w:t>
      </w:r>
    </w:p>
    <w:p w14:paraId="2D7931CF"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Robust legal frameworks (PPP Law 2019, tax stability guarantees, international arbitration access)</w:t>
      </w:r>
    </w:p>
    <w:p w14:paraId="1D7896B0"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WTO accession process providing external anchor</w:t>
      </w:r>
    </w:p>
    <w:p w14:paraId="3639922A"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lastRenderedPageBreak/>
        <w:t>Strong multilateral engagement (IMF, World Bank, EBRD, ADB)</w:t>
      </w:r>
    </w:p>
    <w:p w14:paraId="59A91FE3"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Successful major reforms (2017 currency liberalization, trade opening) demonstrating commitment</w:t>
      </w:r>
    </w:p>
    <w:p w14:paraId="48391E02"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10.6 Environmental and Social Risks</w:t>
      </w:r>
    </w:p>
    <w:p w14:paraId="524104B3"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Environmental Concerns:</w:t>
      </w:r>
    </w:p>
    <w:p w14:paraId="235E15EE"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High energy intensity: 7.54 TES/GDP (MJ/2017$)</w:t>
      </w:r>
    </w:p>
    <w:p w14:paraId="6B7C0933"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Emission intensity: 0.46 kgCO₂/2017$ is high</w:t>
      </w:r>
    </w:p>
    <w:p w14:paraId="1079DD25"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Water scarcity critical issue impacting agriculture (20.6% GDP)</w:t>
      </w:r>
    </w:p>
    <w:p w14:paraId="2E259269"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Waste management underdeveloped</w:t>
      </w:r>
    </w:p>
    <w:p w14:paraId="726E81EF"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Climate vulnerability affecting agricultural productivity</w:t>
      </w:r>
    </w:p>
    <w:p w14:paraId="147BAC15"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Positive Environmental Momentum:</w:t>
      </w:r>
    </w:p>
    <w:p w14:paraId="678557A6"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Low carbon pathway to carbon neutrality in electricity by 2050 adopted</w:t>
      </w:r>
    </w:p>
    <w:p w14:paraId="01807A16"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Global Methane Pledge participation</w:t>
      </w:r>
    </w:p>
    <w:p w14:paraId="38D85E5B"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Renewable energy expansion (200MW solar, 500MW wind)</w:t>
      </w:r>
    </w:p>
    <w:p w14:paraId="5FA8A405"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Green Economy Financing Facility launched</w:t>
      </w:r>
    </w:p>
    <w:p w14:paraId="63A94CC0"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Green Cities initiative</w:t>
      </w:r>
    </w:p>
    <w:p w14:paraId="70F24208"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Water/wastewater infrastructure investments</w:t>
      </w:r>
    </w:p>
    <w:p w14:paraId="18DC1668"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Social Concerns:</w:t>
      </w:r>
    </w:p>
    <w:p w14:paraId="4E546407"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Poverty 8.9% (2024) despite decline from 11% (2023)</w:t>
      </w:r>
    </w:p>
    <w:p w14:paraId="168E4EFD"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Youth unemployment 13.8%</w:t>
      </w:r>
    </w:p>
    <w:p w14:paraId="6C790FB5"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Female labor force participation 40% (low)</w:t>
      </w:r>
    </w:p>
    <w:p w14:paraId="7B5C7DC0"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Regional disparities</w:t>
      </w:r>
    </w:p>
    <w:p w14:paraId="26511747"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Informality</w:t>
      </w:r>
    </w:p>
    <w:p w14:paraId="0FF6C142"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Social Progress:</w:t>
      </w:r>
    </w:p>
    <w:p w14:paraId="0860B8E0"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Violence against women criminalized</w:t>
      </w:r>
    </w:p>
    <w:p w14:paraId="01A13030"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Gender inclusion initiatives</w:t>
      </w:r>
    </w:p>
    <w:p w14:paraId="1FC24781"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Women in Business programmes</w:t>
      </w:r>
    </w:p>
    <w:p w14:paraId="7B3DDDD4"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Forced/child labor in cotton abolished (enabling EU GSP+ access)</w:t>
      </w:r>
    </w:p>
    <w:p w14:paraId="0F73FBAD"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Development Strategy 2022-2026 Priority 4 focuses on social sphere and human capital</w:t>
      </w:r>
    </w:p>
    <w:p w14:paraId="6F8ADC0F"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E&amp;S Risk Assessment:</w:t>
      </w:r>
      <w:r w:rsidRPr="004B194E">
        <w:rPr>
          <w:rFonts w:ascii="Times New Roman" w:hAnsi="Times New Roman" w:cs="Times New Roman"/>
          <w:color w:val="000000" w:themeColor="text1"/>
        </w:rPr>
        <w:t xml:space="preserve"> Moderate. Environmental and social frameworks are improving but require continued attention, especially water management, climate adaptation, and social inclusion. EBRD and IFIs apply Environmental and Social standards to financed projects, supporting best practice adoption.</w:t>
      </w:r>
    </w:p>
    <w:p w14:paraId="3D291ED7"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10.7 Upside Opportunities</w:t>
      </w:r>
    </w:p>
    <w:p w14:paraId="6D90ED74"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Potential Upside Scenarios:</w:t>
      </w:r>
    </w:p>
    <w:p w14:paraId="6BF262B0"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1. </w:t>
      </w:r>
      <w:r w:rsidRPr="004B194E">
        <w:rPr>
          <w:rFonts w:ascii="Times New Roman" w:hAnsi="Times New Roman" w:cs="Times New Roman"/>
          <w:b/>
          <w:color w:val="000000" w:themeColor="text1"/>
        </w:rPr>
        <w:t>Faster Implementation of Structural Reforms:</w:t>
      </w:r>
      <w:r w:rsidRPr="004B194E">
        <w:rPr>
          <w:rFonts w:ascii="Times New Roman" w:hAnsi="Times New Roman" w:cs="Times New Roman"/>
          <w:color w:val="000000" w:themeColor="text1"/>
        </w:rPr>
        <w:t xml:space="preserve"> Accelerated SOE privatization, WTO accession, governance improvements</w:t>
      </w:r>
    </w:p>
    <w:p w14:paraId="4CC0FB57"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2. </w:t>
      </w:r>
      <w:r w:rsidRPr="004B194E">
        <w:rPr>
          <w:rFonts w:ascii="Times New Roman" w:hAnsi="Times New Roman" w:cs="Times New Roman"/>
          <w:b/>
          <w:color w:val="000000" w:themeColor="text1"/>
        </w:rPr>
        <w:t>Stronger Inflows:</w:t>
      </w:r>
      <w:r w:rsidRPr="004B194E">
        <w:rPr>
          <w:rFonts w:ascii="Times New Roman" w:hAnsi="Times New Roman" w:cs="Times New Roman"/>
          <w:color w:val="000000" w:themeColor="text1"/>
        </w:rPr>
        <w:t xml:space="preserve"> Increased remittances, higher FDI attracted by improved business climate</w:t>
      </w:r>
    </w:p>
    <w:p w14:paraId="227706C2"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lastRenderedPageBreak/>
        <w:t xml:space="preserve">3. </w:t>
      </w:r>
      <w:r w:rsidRPr="004B194E">
        <w:rPr>
          <w:rFonts w:ascii="Times New Roman" w:hAnsi="Times New Roman" w:cs="Times New Roman"/>
          <w:b/>
          <w:color w:val="000000" w:themeColor="text1"/>
        </w:rPr>
        <w:t>Favorable Commodity Prices:</w:t>
      </w:r>
      <w:r w:rsidRPr="004B194E">
        <w:rPr>
          <w:rFonts w:ascii="Times New Roman" w:hAnsi="Times New Roman" w:cs="Times New Roman"/>
          <w:color w:val="000000" w:themeColor="text1"/>
        </w:rPr>
        <w:t xml:space="preserve"> Particularly for gold and other key exports</w:t>
      </w:r>
    </w:p>
    <w:p w14:paraId="4B4B0543"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4. </w:t>
      </w:r>
      <w:r w:rsidRPr="004B194E">
        <w:rPr>
          <w:rFonts w:ascii="Times New Roman" w:hAnsi="Times New Roman" w:cs="Times New Roman"/>
          <w:b/>
          <w:color w:val="000000" w:themeColor="text1"/>
        </w:rPr>
        <w:t>Successful Major Privatizations:</w:t>
      </w:r>
      <w:r w:rsidRPr="004B194E">
        <w:rPr>
          <w:rFonts w:ascii="Times New Roman" w:hAnsi="Times New Roman" w:cs="Times New Roman"/>
          <w:color w:val="000000" w:themeColor="text1"/>
        </w:rPr>
        <w:t xml:space="preserve"> Talimarjan TPP model replicated, state bank privatizations completed</w:t>
      </w:r>
    </w:p>
    <w:p w14:paraId="1815AB71"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5. </w:t>
      </w:r>
      <w:r w:rsidRPr="004B194E">
        <w:rPr>
          <w:rFonts w:ascii="Times New Roman" w:hAnsi="Times New Roman" w:cs="Times New Roman"/>
          <w:b/>
          <w:color w:val="000000" w:themeColor="text1"/>
        </w:rPr>
        <w:t>WTO Accession Completion:</w:t>
      </w:r>
      <w:r w:rsidRPr="004B194E">
        <w:rPr>
          <w:rFonts w:ascii="Times New Roman" w:hAnsi="Times New Roman" w:cs="Times New Roman"/>
          <w:color w:val="000000" w:themeColor="text1"/>
        </w:rPr>
        <w:t xml:space="preserve"> Boosting trade integration and market access</w:t>
      </w:r>
    </w:p>
    <w:p w14:paraId="125EC833"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6. </w:t>
      </w:r>
      <w:r w:rsidRPr="004B194E">
        <w:rPr>
          <w:rFonts w:ascii="Times New Roman" w:hAnsi="Times New Roman" w:cs="Times New Roman"/>
          <w:b/>
          <w:color w:val="000000" w:themeColor="text1"/>
        </w:rPr>
        <w:t>Accelerated Regional Integration:</w:t>
      </w:r>
      <w:r w:rsidRPr="004B194E">
        <w:rPr>
          <w:rFonts w:ascii="Times New Roman" w:hAnsi="Times New Roman" w:cs="Times New Roman"/>
          <w:color w:val="000000" w:themeColor="text1"/>
        </w:rPr>
        <w:t xml:space="preserve"> CKU railway completion, toll road network development improving connectivity</w:t>
      </w:r>
    </w:p>
    <w:p w14:paraId="5932FE34"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7. </w:t>
      </w:r>
      <w:r w:rsidRPr="004B194E">
        <w:rPr>
          <w:rFonts w:ascii="Times New Roman" w:hAnsi="Times New Roman" w:cs="Times New Roman"/>
          <w:b/>
          <w:color w:val="000000" w:themeColor="text1"/>
        </w:rPr>
        <w:t>Renewable Energy Scale-Up:</w:t>
      </w:r>
      <w:r w:rsidRPr="004B194E">
        <w:rPr>
          <w:rFonts w:ascii="Times New Roman" w:hAnsi="Times New Roman" w:cs="Times New Roman"/>
          <w:color w:val="000000" w:themeColor="text1"/>
        </w:rPr>
        <w:t xml:space="preserve"> Exceeding targets, attracting major international investors</w:t>
      </w:r>
    </w:p>
    <w:p w14:paraId="144EFB24"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8. </w:t>
      </w:r>
      <w:r w:rsidRPr="004B194E">
        <w:rPr>
          <w:rFonts w:ascii="Times New Roman" w:hAnsi="Times New Roman" w:cs="Times New Roman"/>
          <w:b/>
          <w:color w:val="000000" w:themeColor="text1"/>
        </w:rPr>
        <w:t>Climate Finance Mobilization:</w:t>
      </w:r>
      <w:r w:rsidRPr="004B194E">
        <w:rPr>
          <w:rFonts w:ascii="Times New Roman" w:hAnsi="Times New Roman" w:cs="Times New Roman"/>
          <w:color w:val="000000" w:themeColor="text1"/>
        </w:rPr>
        <w:t xml:space="preserve"> Accessing green bonds, climate funds for adaptation and mitigation</w:t>
      </w:r>
    </w:p>
    <w:p w14:paraId="35055D49" w14:textId="77777777" w:rsidR="008E5991" w:rsidRPr="004B194E" w:rsidRDefault="008E5991" w:rsidP="0000333D">
      <w:pPr>
        <w:spacing w:before="120" w:after="120"/>
        <w:jc w:val="both"/>
        <w:rPr>
          <w:rFonts w:ascii="Times New Roman" w:hAnsi="Times New Roman" w:cs="Times New Roman"/>
          <w:color w:val="000000" w:themeColor="text1"/>
        </w:rPr>
      </w:pPr>
    </w:p>
    <w:p w14:paraId="6DD4D658" w14:textId="77777777" w:rsidR="004D213B" w:rsidRDefault="004D213B" w:rsidP="0000333D">
      <w:pPr>
        <w:pStyle w:val="Heading1"/>
        <w:jc w:val="both"/>
        <w:sectPr w:rsidR="004D213B" w:rsidSect="00034616">
          <w:pgSz w:w="12240" w:h="15840"/>
          <w:pgMar w:top="1440" w:right="1800" w:bottom="1440" w:left="1800" w:header="720" w:footer="720" w:gutter="0"/>
          <w:cols w:space="720"/>
          <w:docGrid w:linePitch="360"/>
        </w:sectPr>
      </w:pPr>
    </w:p>
    <w:p w14:paraId="29D87EC1" w14:textId="77777777" w:rsidR="008E5991" w:rsidRPr="004B194E" w:rsidRDefault="00000000" w:rsidP="0000333D">
      <w:pPr>
        <w:pStyle w:val="Heading1"/>
        <w:jc w:val="both"/>
      </w:pPr>
      <w:r w:rsidRPr="004B194E">
        <w:lastRenderedPageBreak/>
        <w:t>11. FINANCING LANDSCAPE</w:t>
      </w:r>
    </w:p>
    <w:p w14:paraId="718385A8"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11.1 Multilateral Development Bank Engagement</w:t>
      </w:r>
    </w:p>
    <w:p w14:paraId="5DAB6C2D"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Uzbekistan benefits from strong engagement with multiple multilateral development banks, providing financing, technical assistance, and policy dialogue support.</w:t>
      </w:r>
    </w:p>
    <w:p w14:paraId="1461D4CA"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Table 22: Multilateral Development Bank Portfolio</w:t>
      </w:r>
    </w:p>
    <w:tbl>
      <w:tblPr>
        <w:tblStyle w:val="LightGrid-Accent1"/>
        <w:tblW w:w="0" w:type="auto"/>
        <w:tblLook w:val="04A0" w:firstRow="1" w:lastRow="0" w:firstColumn="1" w:lastColumn="0" w:noHBand="0" w:noVBand="1"/>
      </w:tblPr>
      <w:tblGrid>
        <w:gridCol w:w="1875"/>
        <w:gridCol w:w="2355"/>
        <w:gridCol w:w="2101"/>
        <w:gridCol w:w="2525"/>
      </w:tblGrid>
      <w:tr w:rsidR="004B194E" w:rsidRPr="004B194E" w14:paraId="3F92BCB2" w14:textId="77777777" w:rsidTr="008E5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82D0614"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Institution</w:t>
            </w:r>
          </w:p>
        </w:tc>
        <w:tc>
          <w:tcPr>
            <w:tcW w:w="2160" w:type="dxa"/>
          </w:tcPr>
          <w:p w14:paraId="424EE5B0"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Portfolio/Commitment</w:t>
            </w:r>
          </w:p>
        </w:tc>
        <w:tc>
          <w:tcPr>
            <w:tcW w:w="2160" w:type="dxa"/>
          </w:tcPr>
          <w:p w14:paraId="67CE6228"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Focus Areas</w:t>
            </w:r>
          </w:p>
        </w:tc>
        <w:tc>
          <w:tcPr>
            <w:tcW w:w="2160" w:type="dxa"/>
          </w:tcPr>
          <w:p w14:paraId="739894D6"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Recent Projects</w:t>
            </w:r>
          </w:p>
        </w:tc>
      </w:tr>
      <w:tr w:rsidR="004B194E" w:rsidRPr="004B194E" w14:paraId="05162D3F"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B5DC251"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**EBRD**</w:t>
            </w:r>
          </w:p>
        </w:tc>
        <w:tc>
          <w:tcPr>
            <w:tcW w:w="2160" w:type="dxa"/>
          </w:tcPr>
          <w:p w14:paraId="56F48C78"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EUR 2,379m portfolio (Dec 2023); 81 active projects; 59.3% private sector share</w:t>
            </w:r>
          </w:p>
        </w:tc>
        <w:tc>
          <w:tcPr>
            <w:tcW w:w="2160" w:type="dxa"/>
          </w:tcPr>
          <w:p w14:paraId="7EBDB8EC"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Financial institutions (EUR 380m SME credit lines to 9 PFIs); Infrastructure (NavoiTransmission EUR 71m, renewable energy, water); Private sector direct (Anglesey Food USD 40m, Meros Pharm USD 15m); Advisory (&gt;230 SME projects, SOE governance TA)</w:t>
            </w:r>
          </w:p>
        </w:tc>
        <w:tc>
          <w:tcPr>
            <w:tcW w:w="2160" w:type="dxa"/>
          </w:tcPr>
          <w:p w14:paraId="4F6C3410"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Previous strategy (2018-2023) ABI EUR 3,290m; TC EUR 82.4m; Priority 1 (private sector) 49%, Priority 2 (green) 32%, Priority 3 (governance/connectivity) 19%</w:t>
            </w:r>
          </w:p>
        </w:tc>
      </w:tr>
      <w:tr w:rsidR="004B194E" w:rsidRPr="004B194E" w14:paraId="2AAD0EA3"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3ED27EC9"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**World Bank**</w:t>
            </w:r>
          </w:p>
        </w:tc>
        <w:tc>
          <w:tcPr>
            <w:tcW w:w="2160" w:type="dxa"/>
          </w:tcPr>
          <w:p w14:paraId="2C56C800"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Major partner</w:t>
            </w:r>
          </w:p>
        </w:tc>
        <w:tc>
          <w:tcPr>
            <w:tcW w:w="2160" w:type="dxa"/>
          </w:tcPr>
          <w:p w14:paraId="18437FD2"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Infrastructure, development programs, PPP support, Benchmarking Infrastructure reports, policy-based lending</w:t>
            </w:r>
          </w:p>
        </w:tc>
        <w:tc>
          <w:tcPr>
            <w:tcW w:w="2160" w:type="dxa"/>
          </w:tcPr>
          <w:p w14:paraId="708B4A44"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Toll road PPP advisory (Tashkent-Andijan, Tashkent-Samarkand); connectivity studies; governance reforms</w:t>
            </w:r>
          </w:p>
        </w:tc>
      </w:tr>
      <w:tr w:rsidR="004B194E" w:rsidRPr="004B194E" w14:paraId="29A59EDC"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C174779"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**ADB**</w:t>
            </w:r>
          </w:p>
        </w:tc>
        <w:tc>
          <w:tcPr>
            <w:tcW w:w="2160" w:type="dxa"/>
          </w:tcPr>
          <w:p w14:paraId="341DD901"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Major partner</w:t>
            </w:r>
          </w:p>
        </w:tc>
        <w:tc>
          <w:tcPr>
            <w:tcW w:w="2160" w:type="dxa"/>
          </w:tcPr>
          <w:p w14:paraId="781AD25A"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Infrastructure, policy lending, capacity building</w:t>
            </w:r>
          </w:p>
        </w:tc>
        <w:tc>
          <w:tcPr>
            <w:tcW w:w="2160" w:type="dxa"/>
          </w:tcPr>
          <w:p w14:paraId="3804C27A"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Multiple infrastructure projects across sectors</w:t>
            </w:r>
          </w:p>
        </w:tc>
      </w:tr>
      <w:tr w:rsidR="004B194E" w:rsidRPr="004B194E" w14:paraId="459B0B98"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1CC1DE9"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**AIIB**</w:t>
            </w:r>
          </w:p>
        </w:tc>
        <w:tc>
          <w:tcPr>
            <w:tcW w:w="2160" w:type="dxa"/>
          </w:tcPr>
          <w:p w14:paraId="1EA45222"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USD 100m (2025)</w:t>
            </w:r>
          </w:p>
        </w:tc>
        <w:tc>
          <w:tcPr>
            <w:tcW w:w="2160" w:type="dxa"/>
          </w:tcPr>
          <w:p w14:paraId="20EF97B4"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Digital infrastructure</w:t>
            </w:r>
          </w:p>
        </w:tc>
        <w:tc>
          <w:tcPr>
            <w:tcW w:w="2160" w:type="dxa"/>
          </w:tcPr>
          <w:p w14:paraId="229B9475"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Uzbekistan Telecom project</w:t>
            </w:r>
          </w:p>
        </w:tc>
      </w:tr>
      <w:tr w:rsidR="004B194E" w:rsidRPr="004B194E" w14:paraId="2F5BC6E0"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189DCF"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**IFC**</w:t>
            </w:r>
          </w:p>
        </w:tc>
        <w:tc>
          <w:tcPr>
            <w:tcW w:w="2160" w:type="dxa"/>
          </w:tcPr>
          <w:p w14:paraId="136AF501"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Selective</w:t>
            </w:r>
          </w:p>
        </w:tc>
        <w:tc>
          <w:tcPr>
            <w:tcW w:w="2160" w:type="dxa"/>
          </w:tcPr>
          <w:p w14:paraId="0945E2EF"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Project finance, equity investments</w:t>
            </w:r>
          </w:p>
        </w:tc>
        <w:tc>
          <w:tcPr>
            <w:tcW w:w="2160" w:type="dxa"/>
          </w:tcPr>
          <w:p w14:paraId="591FADCF"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Limited but growing engagement</w:t>
            </w:r>
          </w:p>
        </w:tc>
      </w:tr>
      <w:tr w:rsidR="004B194E" w:rsidRPr="004B194E" w14:paraId="1E96D7A1"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EE94FB2"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**Islamic Development Bank**</w:t>
            </w:r>
          </w:p>
        </w:tc>
        <w:tc>
          <w:tcPr>
            <w:tcW w:w="2160" w:type="dxa"/>
          </w:tcPr>
          <w:p w14:paraId="07A35515"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Bilateral financing</w:t>
            </w:r>
          </w:p>
        </w:tc>
        <w:tc>
          <w:tcPr>
            <w:tcW w:w="2160" w:type="dxa"/>
          </w:tcPr>
          <w:p w14:paraId="2003AC05"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Various sectors</w:t>
            </w:r>
          </w:p>
        </w:tc>
        <w:tc>
          <w:tcPr>
            <w:tcW w:w="2160" w:type="dxa"/>
          </w:tcPr>
          <w:p w14:paraId="47EB07CB"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Concessional and market-based lending</w:t>
            </w:r>
          </w:p>
        </w:tc>
      </w:tr>
    </w:tbl>
    <w:p w14:paraId="1BDB1003" w14:textId="77777777" w:rsidR="008E5991" w:rsidRPr="004B194E" w:rsidRDefault="008E5991" w:rsidP="0000333D">
      <w:pPr>
        <w:jc w:val="both"/>
        <w:rPr>
          <w:rFonts w:ascii="Times New Roman" w:hAnsi="Times New Roman" w:cs="Times New Roman"/>
          <w:color w:val="000000" w:themeColor="text1"/>
        </w:rPr>
      </w:pPr>
    </w:p>
    <w:p w14:paraId="3E01F25F"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lastRenderedPageBreak/>
        <w:t>PPP Project Development Facility (UPDF):</w:t>
      </w:r>
      <w:r w:rsidRPr="004B194E">
        <w:rPr>
          <w:rFonts w:ascii="Times New Roman" w:hAnsi="Times New Roman" w:cs="Times New Roman"/>
          <w:color w:val="000000" w:themeColor="text1"/>
        </w:rPr>
        <w:t xml:space="preserve"> EBRD approved EUR 10 million contribution supporting early-stage feasibility studies and transaction advisory for PPP pipeline development.</w:t>
      </w:r>
    </w:p>
    <w:p w14:paraId="6BBBF196"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Total Multilateral Support:</w:t>
      </w:r>
      <w:r w:rsidRPr="004B194E">
        <w:rPr>
          <w:rFonts w:ascii="Times New Roman" w:hAnsi="Times New Roman" w:cs="Times New Roman"/>
          <w:color w:val="000000" w:themeColor="text1"/>
        </w:rPr>
        <w:t xml:space="preserve"> Strong across financing, technical assistance, policy dialogue, capacity building, providing critical support for Uzbekistan's development and infrastructure agenda.</w:t>
      </w:r>
    </w:p>
    <w:p w14:paraId="243007D9"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11.2 Bilateral Development Partners</w:t>
      </w:r>
    </w:p>
    <w:p w14:paraId="61A9C927"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Bilateral Partners Include:</w:t>
      </w:r>
    </w:p>
    <w:p w14:paraId="4996B549"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AFD (Agence Française de Développement): French development agency active in infrastructure</w:t>
      </w:r>
    </w:p>
    <w:p w14:paraId="35B57C60"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Expertise France: Technical assistance and capacity building</w:t>
      </w:r>
    </w:p>
    <w:p w14:paraId="0E7133F6"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Japan: Bilateral loans and grants for infrastructure</w:t>
      </w:r>
    </w:p>
    <w:p w14:paraId="27E329FA"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Taipei China: Development assistance</w:t>
      </w:r>
    </w:p>
    <w:p w14:paraId="50CE2BD8"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Luxembourg: Smaller-scale technical cooperation</w:t>
      </w:r>
    </w:p>
    <w:p w14:paraId="1074D703"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Climate Finance:</w:t>
      </w:r>
    </w:p>
    <w:p w14:paraId="6D6943E3"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GCF (Green Climate Fund): Climate adaptation and mitigation financing</w:t>
      </w:r>
    </w:p>
    <w:p w14:paraId="7A5E4556"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EU Support: Including EFSD (European Fund for Sustainable Development) for various initiatives</w:t>
      </w:r>
    </w:p>
    <w:p w14:paraId="0D96E769"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Multilateral Coordination:</w:t>
      </w:r>
      <w:r w:rsidRPr="004B194E">
        <w:rPr>
          <w:rFonts w:ascii="Times New Roman" w:hAnsi="Times New Roman" w:cs="Times New Roman"/>
          <w:color w:val="000000" w:themeColor="text1"/>
        </w:rPr>
        <w:t xml:space="preserve"> Strong coordination among multilateral and bilateral partners on PPP framework and capacity, financial sector reform, business climate, WTO accession, climate and green transition, infrastructure financing.</w:t>
      </w:r>
    </w:p>
    <w:p w14:paraId="713861A9"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11.3 Sovereign Credit Profile and Market Access</w:t>
      </w:r>
    </w:p>
    <w:p w14:paraId="1B078B48"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Sovereign Credit Ratings:</w:t>
      </w:r>
    </w:p>
    <w:p w14:paraId="0B76F871"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Moody's: Ba3 (stable outlook)</w:t>
      </w:r>
    </w:p>
    <w:p w14:paraId="6E25ABC3"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Standard &amp; Poor's: BB- (stable outlook)</w:t>
      </w:r>
    </w:p>
    <w:p w14:paraId="363B5831"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Fitch: BB (stable outlook)</w:t>
      </w:r>
    </w:p>
    <w:p w14:paraId="1DB32F7D"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These sub-investment grade but improving ratings reflect:</w:t>
      </w:r>
    </w:p>
    <w:p w14:paraId="7E318029"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Positive Factors: Reform progress, moderate debt levels, strong growth potential, demographic dividend, strategic location, natural resource base</w:t>
      </w:r>
    </w:p>
    <w:p w14:paraId="4C0E961C"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Constraints: Governance challenges (corruption 121/180), structural transformation incomplete, SOE dominance, PPP contingent liabilities, limited track record, double landlocked geography</w:t>
      </w:r>
    </w:p>
    <w:p w14:paraId="66A19BB1"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Rating Trajectory:</w:t>
      </w:r>
      <w:r w:rsidRPr="004B194E">
        <w:rPr>
          <w:rFonts w:ascii="Times New Roman" w:hAnsi="Times New Roman" w:cs="Times New Roman"/>
          <w:color w:val="000000" w:themeColor="text1"/>
        </w:rPr>
        <w:t xml:space="preserve"> Stable outlooks across all three agencies indicate potential for upgrades if reforms continue and fiscal discipline maintained.</w:t>
      </w:r>
    </w:p>
    <w:p w14:paraId="60DEC83D"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Sovereign Issuance:</w:t>
      </w:r>
      <w:r w:rsidRPr="004B194E">
        <w:rPr>
          <w:rFonts w:ascii="Times New Roman" w:hAnsi="Times New Roman" w:cs="Times New Roman"/>
          <w:color w:val="000000" w:themeColor="text1"/>
        </w:rPr>
        <w:t xml:space="preserve"> Uzbekistan has emerging market access. While no specific recent sovereign bond issuances are detailed in available excerpts, the credit ratings trajectory is positive, reflecting reform progress and supporting potential future issuance.</w:t>
      </w:r>
    </w:p>
    <w:p w14:paraId="5DB4BE6D"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lastRenderedPageBreak/>
        <w:t>PPP Program 2025-2030 Financing Needs:</w:t>
      </w:r>
      <w:r w:rsidRPr="004B194E">
        <w:rPr>
          <w:rFonts w:ascii="Times New Roman" w:hAnsi="Times New Roman" w:cs="Times New Roman"/>
          <w:color w:val="000000" w:themeColor="text1"/>
        </w:rPr>
        <w:t xml:space="preserve"> The program envisages significant infrastructure financing needs, potentially requiring increased sovereign bond issuance in international markets as creditworthiness continues improving.</w:t>
      </w:r>
    </w:p>
    <w:p w14:paraId="79FA3582"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Investor Base:</w:t>
      </w:r>
      <w:r w:rsidRPr="004B194E">
        <w:rPr>
          <w:rFonts w:ascii="Times New Roman" w:hAnsi="Times New Roman" w:cs="Times New Roman"/>
          <w:color w:val="000000" w:themeColor="text1"/>
        </w:rPr>
        <w:t xml:space="preserve"> Growing international appetite as reforms deepen and ratings improve. Strong multilateral investor base provides foundation.</w:t>
      </w:r>
    </w:p>
    <w:p w14:paraId="0EE3BB3C"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11.4 Commercial Bank Project Finance</w:t>
      </w:r>
    </w:p>
    <w:p w14:paraId="51929BC7"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Banking Sector Capacity:</w:t>
      </w:r>
      <w:r w:rsidRPr="004B194E">
        <w:rPr>
          <w:rFonts w:ascii="Times New Roman" w:hAnsi="Times New Roman" w:cs="Times New Roman"/>
          <w:color w:val="000000" w:themeColor="text1"/>
        </w:rPr>
        <w:t xml:space="preserve"> Credit growth has been strong (21-23% in 2022-2023), though with recent volatility. The banking sector is well-capitalized and profitable, but concentrated with state-owned commercial banks dominant.</w:t>
      </w:r>
    </w:p>
    <w:p w14:paraId="006EF6DE"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Project Finance Appetite:</w:t>
      </w:r>
      <w:r w:rsidRPr="004B194E">
        <w:rPr>
          <w:rFonts w:ascii="Times New Roman" w:hAnsi="Times New Roman" w:cs="Times New Roman"/>
          <w:color w:val="000000" w:themeColor="text1"/>
        </w:rPr>
        <w:t xml:space="preserve"> Developing but limited track record. Large-scale infrastructure project finance typically requires international bank participation or IFI support.</w:t>
      </w:r>
    </w:p>
    <w:p w14:paraId="3C014065"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EBRD Credit Lines:</w:t>
      </w:r>
      <w:r w:rsidRPr="004B194E">
        <w:rPr>
          <w:rFonts w:ascii="Times New Roman" w:hAnsi="Times New Roman" w:cs="Times New Roman"/>
          <w:color w:val="000000" w:themeColor="text1"/>
        </w:rPr>
        <w:t xml:space="preserve"> EUR 380 million provided to 9 Partner Financial Institutions (PFIs) during previous strategy for SME lending, demonstrating banking sector capacity but also need for wholesale funding support.</w:t>
      </w:r>
    </w:p>
    <w:p w14:paraId="171040CE"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State Bank Issues:</w:t>
      </w:r>
      <w:r w:rsidRPr="004B194E">
        <w:rPr>
          <w:rFonts w:ascii="Times New Roman" w:hAnsi="Times New Roman" w:cs="Times New Roman"/>
          <w:color w:val="000000" w:themeColor="text1"/>
        </w:rPr>
        <w:t xml:space="preserve"> Directed and preferential lending through state-owned commercial banks continues, though being phased out per FSAP recommendations. Commercial banks increasingly active but large-scale infrastructure financing capacity limited.</w:t>
      </w:r>
    </w:p>
    <w:p w14:paraId="6592E32B"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Microcredit Sector:</w:t>
      </w:r>
      <w:r w:rsidRPr="004B194E">
        <w:rPr>
          <w:rFonts w:ascii="Times New Roman" w:hAnsi="Times New Roman" w:cs="Times New Roman"/>
          <w:color w:val="000000" w:themeColor="text1"/>
        </w:rPr>
        <w:t xml:space="preserve"> Expanding rapidly, creating both financial inclusion opportunities and risks warranting additional macroprudential measures.</w:t>
      </w:r>
    </w:p>
    <w:p w14:paraId="4F21DBA3"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11.5 FDI and Private Equity</w:t>
      </w:r>
    </w:p>
    <w:p w14:paraId="60F3CF15"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FDI Performance:</w:t>
      </w:r>
      <w:r w:rsidRPr="004B194E">
        <w:rPr>
          <w:rFonts w:ascii="Times New Roman" w:hAnsi="Times New Roman" w:cs="Times New Roman"/>
          <w:color w:val="000000" w:themeColor="text1"/>
        </w:rPr>
        <w:t xml:space="preserve"> Significant increases since 2017 reforms, with major investments demonstrating growing international confidence.</w:t>
      </w:r>
    </w:p>
    <w:p w14:paraId="045C54CA"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Major FDI Transactions:</w:t>
      </w:r>
    </w:p>
    <w:p w14:paraId="652D7C08"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Energy:</w:t>
      </w:r>
    </w:p>
    <w:p w14:paraId="1CFC3705"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Talimarjan Thermal Power Plant: Mubadala Investment Company (40%) and TAQA Abu Dhabi National Energy Company (40%) acquired 80% stake for approximately USD 1.7 billion equivalent (2025) - landmark privatization with 25-year PPA</w:t>
      </w:r>
    </w:p>
    <w:p w14:paraId="12D774D0"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Infrastructure:</w:t>
      </w:r>
    </w:p>
    <w:p w14:paraId="6EA919AA"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Tashkent-Andijan Toll Road: More than 30 international companies expressed interest in RFQ (early 2025)</w:t>
      </w:r>
    </w:p>
    <w:p w14:paraId="684A813F"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Digital:</w:t>
      </w:r>
    </w:p>
    <w:p w14:paraId="0D4D3CB6"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TBC Bank: Uzbekistan's first fully digital bank with international equity participation</w:t>
      </w:r>
    </w:p>
    <w:p w14:paraId="671EB807"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Retail:</w:t>
      </w:r>
    </w:p>
    <w:p w14:paraId="2086E14D"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Anglesey Food: USD 40 million EBRD equity investment in grocery retail chain</w:t>
      </w:r>
    </w:p>
    <w:p w14:paraId="717E0B01"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Pharmaceuticals:</w:t>
      </w:r>
    </w:p>
    <w:p w14:paraId="0B7922DF"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Meros Pharm: USD 15 million EBRD loan</w:t>
      </w:r>
    </w:p>
    <w:p w14:paraId="413B8214"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lastRenderedPageBreak/>
        <w:t>Renewable Energy:</w:t>
      </w:r>
    </w:p>
    <w:p w14:paraId="22FA1488"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International developers for 200MW solar PV (Navoi and Samarkand)</w:t>
      </w:r>
    </w:p>
    <w:p w14:paraId="6EF26205"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500MW wind power plant (Navoi) with international sponsors</w:t>
      </w:r>
    </w:p>
    <w:p w14:paraId="63A757FE"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FDI Drivers:</w:t>
      </w:r>
    </w:p>
    <w:p w14:paraId="25E7A6FB"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Currency liberalization and full convertibility/repatriation (2017 reform)</w:t>
      </w:r>
    </w:p>
    <w:p w14:paraId="42FDC0C0"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Large and growing domestic market (36.9 million population, 45% under 25)</w:t>
      </w:r>
    </w:p>
    <w:p w14:paraId="1BD8703A"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Strategic location for regional connectivity</w:t>
      </w:r>
    </w:p>
    <w:p w14:paraId="595618D1"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Natural resource base</w:t>
      </w:r>
    </w:p>
    <w:p w14:paraId="5702E929"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Labor cost competitiveness</w:t>
      </w:r>
    </w:p>
    <w:p w14:paraId="25B79E91"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Trade liberalization and market access</w:t>
      </w:r>
    </w:p>
    <w:p w14:paraId="104ADDE5"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PPP framework and investment protections</w:t>
      </w:r>
    </w:p>
    <w:p w14:paraId="232F5D08"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Tax incentives (corporate tax 15%, stability guarantees up to 10 years)</w:t>
      </w:r>
    </w:p>
    <w:p w14:paraId="6B10B047"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FDI Constraints:</w:t>
      </w:r>
    </w:p>
    <w:p w14:paraId="7A4792B8"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Governance challenges (corruption 121/180)</w:t>
      </w:r>
    </w:p>
    <w:p w14:paraId="26D491A9"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Judicial system still developing</w:t>
      </w:r>
    </w:p>
    <w:p w14:paraId="43E4BAC4"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SOE dominance creating uneven playing field</w:t>
      </w:r>
    </w:p>
    <w:p w14:paraId="38DDB7C9"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Bureaucratic delays</w:t>
      </w:r>
    </w:p>
    <w:p w14:paraId="2CE077E8"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Double landlocked geography</w:t>
      </w:r>
    </w:p>
    <w:p w14:paraId="3A64C99C"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Skills mismatches</w:t>
      </w:r>
    </w:p>
    <w:p w14:paraId="479746B4"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11.6 Capital Markets and Bond Financing</w:t>
      </w:r>
    </w:p>
    <w:p w14:paraId="118049D9"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Local Bond Market:</w:t>
      </w:r>
      <w:r w:rsidRPr="004B194E">
        <w:rPr>
          <w:rFonts w:ascii="Times New Roman" w:hAnsi="Times New Roman" w:cs="Times New Roman"/>
          <w:color w:val="000000" w:themeColor="text1"/>
        </w:rPr>
        <w:t xml:space="preserve"> Underdeveloped and shallow. Capital Markets Development Strategy adopted 2021 with EBRD support, but implementation ongoing.</w:t>
      </w:r>
    </w:p>
    <w:p w14:paraId="019DD73D"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Corporate Bond Market:</w:t>
      </w:r>
      <w:r w:rsidRPr="004B194E">
        <w:rPr>
          <w:rFonts w:ascii="Times New Roman" w:hAnsi="Times New Roman" w:cs="Times New Roman"/>
          <w:color w:val="000000" w:themeColor="text1"/>
        </w:rPr>
        <w:t xml:space="preserve"> Nascent, with limited issuance and investor base.</w:t>
      </w:r>
    </w:p>
    <w:p w14:paraId="1F56E4A0"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Municipal Bonds:</w:t>
      </w:r>
      <w:r w:rsidRPr="004B194E">
        <w:rPr>
          <w:rFonts w:ascii="Times New Roman" w:hAnsi="Times New Roman" w:cs="Times New Roman"/>
          <w:color w:val="000000" w:themeColor="text1"/>
        </w:rPr>
        <w:t xml:space="preserve"> Underdeveloped, representing potential future financing channel for urban infrastructure.</w:t>
      </w:r>
    </w:p>
    <w:p w14:paraId="638DA112"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Development Priorities:</w:t>
      </w:r>
    </w:p>
    <w:p w14:paraId="4B6917CD"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Regulatory framework enhancement</w:t>
      </w:r>
    </w:p>
    <w:p w14:paraId="19C2F6FB"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Investor base development (domestic institutional investors)</w:t>
      </w:r>
    </w:p>
    <w:p w14:paraId="6789B70D"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Market infrastructure (trading systems, clearance and settlement, custody)</w:t>
      </w:r>
    </w:p>
    <w:p w14:paraId="29404C95"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Credit rating and disclosure frameworks</w:t>
      </w:r>
    </w:p>
    <w:p w14:paraId="22C6C852"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Corporate governance improvements</w:t>
      </w:r>
    </w:p>
    <w:p w14:paraId="3EFFC39C"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Current Financing Pattern:</w:t>
      </w:r>
      <w:r w:rsidRPr="004B194E">
        <w:rPr>
          <w:rFonts w:ascii="Times New Roman" w:hAnsi="Times New Roman" w:cs="Times New Roman"/>
          <w:color w:val="000000" w:themeColor="text1"/>
        </w:rPr>
        <w:t xml:space="preserve"> Major projects typically USD-denominated due to limited local currency hedging markets and shallow domestic capital markets. This creates currency mismatches for some borrowers but is necessary given market development stage.</w:t>
      </w:r>
    </w:p>
    <w:p w14:paraId="75001EFF"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11.7 Offtaker and Counterparty Credit Quality</w:t>
      </w:r>
    </w:p>
    <w:p w14:paraId="20B208FC"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Sovereign Offtaker Credit:</w:t>
      </w:r>
      <w:r w:rsidRPr="004B194E">
        <w:rPr>
          <w:rFonts w:ascii="Times New Roman" w:hAnsi="Times New Roman" w:cs="Times New Roman"/>
          <w:color w:val="000000" w:themeColor="text1"/>
        </w:rPr>
        <w:t xml:space="preserve"> Government offtaker arrangements (e.g., JSC Uzenergosotish for Talimarjan TPP 25-year PPA) provide payment security backed by sovereign credit (Moody's Ba3, S&amp;P BB-, Fitch BB).</w:t>
      </w:r>
    </w:p>
    <w:p w14:paraId="690F7832"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lastRenderedPageBreak/>
        <w:t>Fiscal Position:</w:t>
      </w:r>
      <w:r w:rsidRPr="004B194E">
        <w:rPr>
          <w:rFonts w:ascii="Times New Roman" w:hAnsi="Times New Roman" w:cs="Times New Roman"/>
          <w:color w:val="000000" w:themeColor="text1"/>
        </w:rPr>
        <w:t xml:space="preserve"> Moderate with public debt 33% of GDP, though PPP contingent liabilities 27% GDP create pressures requiring careful management.</w:t>
      </w:r>
    </w:p>
    <w:p w14:paraId="11830F67"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External Buffers:</w:t>
      </w:r>
      <w:r w:rsidRPr="004B194E">
        <w:rPr>
          <w:rFonts w:ascii="Times New Roman" w:hAnsi="Times New Roman" w:cs="Times New Roman"/>
          <w:color w:val="000000" w:themeColor="text1"/>
        </w:rPr>
        <w:t xml:space="preserve"> International reserves ample at 9.2 months imports, providing external payment capacity.</w:t>
      </w:r>
    </w:p>
    <w:p w14:paraId="6BF291D8"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Government Commitment:</w:t>
      </w:r>
      <w:r w:rsidRPr="004B194E">
        <w:rPr>
          <w:rFonts w:ascii="Times New Roman" w:hAnsi="Times New Roman" w:cs="Times New Roman"/>
          <w:color w:val="000000" w:themeColor="text1"/>
        </w:rPr>
        <w:t xml:space="preserve"> Development Strategy 2022-2026 demonstrates strong government commitment to strategic infrastructure, supporting credibility of long-term offtake agreements.</w:t>
      </w:r>
    </w:p>
    <w:p w14:paraId="53D20AD9"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SOE Credit Quality:</w:t>
      </w:r>
      <w:r w:rsidRPr="004B194E">
        <w:rPr>
          <w:rFonts w:ascii="Times New Roman" w:hAnsi="Times New Roman" w:cs="Times New Roman"/>
          <w:color w:val="000000" w:themeColor="text1"/>
        </w:rPr>
        <w:t xml:space="preserve"> SOEs continue posing potential arrears issues. Gradual privatization underway (Talimarjan TPP 80% privatized). SOE reform strategy 2021-2025 adopted to improve governance and commercial orientation. State bank exposures to SOEs create financial sector linkages. FRAD monitors fiscal risks from SOEs. SOE financial discipline improving under reforms, but specific arrears data not provided.</w:t>
      </w:r>
    </w:p>
    <w:p w14:paraId="3BF6F894"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Toll Road Model:</w:t>
      </w:r>
      <w:r w:rsidRPr="004B194E">
        <w:rPr>
          <w:rFonts w:ascii="Times New Roman" w:hAnsi="Times New Roman" w:cs="Times New Roman"/>
          <w:color w:val="000000" w:themeColor="text1"/>
        </w:rPr>
        <w:t xml:space="preserve"> Direct user-pay model for toll roads reduces offtaker risk, depending instead on traffic volume and ability/willingness to pay.</w:t>
      </w:r>
    </w:p>
    <w:p w14:paraId="0CAB2620"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11.8 Currency and Hedging Constraints</w:t>
      </w:r>
    </w:p>
    <w:p w14:paraId="1CE263BB"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FX Convertibility Risk:</w:t>
      </w:r>
      <w:r w:rsidRPr="004B194E">
        <w:rPr>
          <w:rFonts w:ascii="Times New Roman" w:hAnsi="Times New Roman" w:cs="Times New Roman"/>
          <w:color w:val="000000" w:themeColor="text1"/>
        </w:rPr>
        <w:t xml:space="preserve"> Low. Major reform achievement in 2017: full convertibility and repatriation, no capital controls, free floating exchange rate. International reserves ample. Overall very low convertibility risk.</w:t>
      </w:r>
    </w:p>
    <w:p w14:paraId="3418C910"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FX Volatility Risk:</w:t>
      </w:r>
      <w:r w:rsidRPr="004B194E">
        <w:rPr>
          <w:rFonts w:ascii="Times New Roman" w:hAnsi="Times New Roman" w:cs="Times New Roman"/>
          <w:color w:val="000000" w:themeColor="text1"/>
        </w:rPr>
        <w:t xml:space="preserve"> Moderate. Exchange rate depreciation trend continuing (11,225 UZS/USD in 2022 to 12,920 in 2024). Real effective exchange rate also depreciating (61.8 in 2022 to 55.4 in 2024 on 2015=100 basis).</w:t>
      </w:r>
    </w:p>
    <w:p w14:paraId="35E63345"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Hedging Market Depth:</w:t>
      </w:r>
      <w:r w:rsidRPr="004B194E">
        <w:rPr>
          <w:rFonts w:ascii="Times New Roman" w:hAnsi="Times New Roman" w:cs="Times New Roman"/>
          <w:color w:val="000000" w:themeColor="text1"/>
        </w:rPr>
        <w:t xml:space="preserve"> Limited. Local currency hedging instruments shallow. EBRD provided USD 20 million cross-currency swap for clients, but overall market limited. Major projects typically USD-denominated to avoid currency risk.</w:t>
      </w:r>
    </w:p>
    <w:p w14:paraId="5B49AA58"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Domestic Capital Markets:</w:t>
      </w:r>
      <w:r w:rsidRPr="004B194E">
        <w:rPr>
          <w:rFonts w:ascii="Times New Roman" w:hAnsi="Times New Roman" w:cs="Times New Roman"/>
          <w:color w:val="000000" w:themeColor="text1"/>
        </w:rPr>
        <w:t xml:space="preserve"> Shallow, limiting domestic currency financing options. Capital Markets Development Strategy adopted 2021 but implementation ongoing.</w:t>
      </w:r>
    </w:p>
    <w:p w14:paraId="3418C85D"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FX Liquidity:</w:t>
      </w:r>
      <w:r w:rsidRPr="004B194E">
        <w:rPr>
          <w:rFonts w:ascii="Times New Roman" w:hAnsi="Times New Roman" w:cs="Times New Roman"/>
          <w:color w:val="000000" w:themeColor="text1"/>
        </w:rPr>
        <w:t xml:space="preserve"> For very large transactions, FX liquidity may face constraints despite overall convertibility.</w:t>
      </w:r>
    </w:p>
    <w:p w14:paraId="35CB5BD2"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Implications for Project Finance:</w:t>
      </w:r>
    </w:p>
    <w:p w14:paraId="558E5E6E"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USD-denominated financing typical for large projects</w:t>
      </w:r>
    </w:p>
    <w:p w14:paraId="51C98551"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Currency mismatch risks for projects with local currency revenues (tolls, tariffs)</w:t>
      </w:r>
    </w:p>
    <w:p w14:paraId="3B0C48B9"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Hedging costs high where available</w:t>
      </w:r>
    </w:p>
    <w:p w14:paraId="614EA1F2"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Sovereign guarantees or exchange rate adjustment mechanisms in tariffs needed for bankability</w:t>
      </w:r>
    </w:p>
    <w:p w14:paraId="20A7985C" w14:textId="77777777" w:rsidR="008E5991" w:rsidRPr="004B194E" w:rsidRDefault="008E5991" w:rsidP="0000333D">
      <w:pPr>
        <w:spacing w:before="120" w:after="120"/>
        <w:jc w:val="both"/>
        <w:rPr>
          <w:rFonts w:ascii="Times New Roman" w:hAnsi="Times New Roman" w:cs="Times New Roman"/>
          <w:color w:val="000000" w:themeColor="text1"/>
        </w:rPr>
      </w:pPr>
    </w:p>
    <w:p w14:paraId="192FE4F5" w14:textId="77777777" w:rsidR="004D213B" w:rsidRDefault="004D213B" w:rsidP="0000333D">
      <w:pPr>
        <w:pStyle w:val="Heading1"/>
        <w:jc w:val="both"/>
        <w:sectPr w:rsidR="004D213B" w:rsidSect="00034616">
          <w:pgSz w:w="12240" w:h="15840"/>
          <w:pgMar w:top="1440" w:right="1800" w:bottom="1440" w:left="1800" w:header="720" w:footer="720" w:gutter="0"/>
          <w:cols w:space="720"/>
          <w:docGrid w:linePitch="360"/>
        </w:sectPr>
      </w:pPr>
    </w:p>
    <w:p w14:paraId="588CB3EC" w14:textId="77777777" w:rsidR="008E5991" w:rsidRPr="004B194E" w:rsidRDefault="00000000" w:rsidP="0000333D">
      <w:pPr>
        <w:pStyle w:val="Heading1"/>
        <w:jc w:val="both"/>
      </w:pPr>
      <w:r w:rsidRPr="004B194E">
        <w:lastRenderedPageBreak/>
        <w:t>12. FLAGSHIP PROJECTS</w:t>
      </w:r>
    </w:p>
    <w:p w14:paraId="28DF4EE9"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12.1 Tashkent-Andijan Toll Road</w:t>
      </w:r>
    </w:p>
    <w:p w14:paraId="19E302E2"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Project Overview:</w:t>
      </w:r>
    </w:p>
    <w:p w14:paraId="34F26175"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The Tashkent-Andijan Toll Road represents Uzbekistan's largest transport PPP currently under preparation, with transformational potential for connectivity to the economically important Fergana Valley.</w:t>
      </w:r>
    </w:p>
    <w:p w14:paraId="519198AC"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Table 23: Tashkent-Andijan Toll Road - Project Summary</w:t>
      </w:r>
    </w:p>
    <w:tbl>
      <w:tblPr>
        <w:tblStyle w:val="LightGrid-Accent1"/>
        <w:tblW w:w="0" w:type="auto"/>
        <w:tblLook w:val="04A0" w:firstRow="1" w:lastRow="0" w:firstColumn="1" w:lastColumn="0" w:noHBand="0" w:noVBand="1"/>
      </w:tblPr>
      <w:tblGrid>
        <w:gridCol w:w="4320"/>
        <w:gridCol w:w="4320"/>
      </w:tblGrid>
      <w:tr w:rsidR="004B194E" w:rsidRPr="004B194E" w14:paraId="02823647" w14:textId="77777777" w:rsidTr="008E5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99AF026"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Parameter</w:t>
            </w:r>
          </w:p>
        </w:tc>
        <w:tc>
          <w:tcPr>
            <w:tcW w:w="4320" w:type="dxa"/>
          </w:tcPr>
          <w:p w14:paraId="27FBD0B3"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Details</w:t>
            </w:r>
          </w:p>
        </w:tc>
      </w:tr>
      <w:tr w:rsidR="004B194E" w:rsidRPr="004B194E" w14:paraId="13046119"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68EDB3"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**Project Name**</w:t>
            </w:r>
          </w:p>
        </w:tc>
        <w:tc>
          <w:tcPr>
            <w:tcW w:w="4320" w:type="dxa"/>
          </w:tcPr>
          <w:p w14:paraId="4C73D6CD"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Tashkent-Andijan Toll Road (TAR)</w:t>
            </w:r>
          </w:p>
        </w:tc>
      </w:tr>
      <w:tr w:rsidR="004B194E" w:rsidRPr="004B194E" w14:paraId="68B77A95"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A0DC1C4"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**Sector**</w:t>
            </w:r>
          </w:p>
        </w:tc>
        <w:tc>
          <w:tcPr>
            <w:tcW w:w="4320" w:type="dxa"/>
          </w:tcPr>
          <w:p w14:paraId="6CCF5331"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Transport - Road Infrastructure</w:t>
            </w:r>
          </w:p>
        </w:tc>
      </w:tr>
      <w:tr w:rsidR="004B194E" w:rsidRPr="004B194E" w14:paraId="343802A8"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1E682AA"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**Capital Expenditure**</w:t>
            </w:r>
          </w:p>
        </w:tc>
        <w:tc>
          <w:tcPr>
            <w:tcW w:w="4320" w:type="dxa"/>
          </w:tcPr>
          <w:p w14:paraId="632F9A1C"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~USD 4.3 billion</w:t>
            </w:r>
          </w:p>
        </w:tc>
      </w:tr>
      <w:tr w:rsidR="004B194E" w:rsidRPr="004B194E" w14:paraId="66ABF63A"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CAC2BE"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**Alignment**</w:t>
            </w:r>
          </w:p>
        </w:tc>
        <w:tc>
          <w:tcPr>
            <w:tcW w:w="4320" w:type="dxa"/>
          </w:tcPr>
          <w:p w14:paraId="749DD973"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~315 km connecting Tashkent with Andijan through Kamchik Pass</w:t>
            </w:r>
          </w:p>
        </w:tc>
      </w:tr>
      <w:tr w:rsidR="004B194E" w:rsidRPr="004B194E" w14:paraId="4ACFA40C"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E120D2C"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**Structure**</w:t>
            </w:r>
          </w:p>
        </w:tc>
        <w:tc>
          <w:tcPr>
            <w:tcW w:w="4320" w:type="dxa"/>
          </w:tcPr>
          <w:p w14:paraId="459045B9"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DBFOM (Design-Build-Finance-Operate-Maintain)</w:t>
            </w:r>
          </w:p>
        </w:tc>
      </w:tr>
      <w:tr w:rsidR="004B194E" w:rsidRPr="004B194E" w14:paraId="4A48CFD6"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AD53209"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**Concession Period**</w:t>
            </w:r>
          </w:p>
        </w:tc>
        <w:tc>
          <w:tcPr>
            <w:tcW w:w="4320" w:type="dxa"/>
          </w:tcPr>
          <w:p w14:paraId="7FED364B"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49 years</w:t>
            </w:r>
          </w:p>
        </w:tc>
      </w:tr>
      <w:tr w:rsidR="004B194E" w:rsidRPr="004B194E" w14:paraId="799FCD6A"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5A107E"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**Revenue Model**</w:t>
            </w:r>
          </w:p>
        </w:tc>
        <w:tc>
          <w:tcPr>
            <w:tcW w:w="4320" w:type="dxa"/>
          </w:tcPr>
          <w:p w14:paraId="2837A41E"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Toll road revenue under 49-year concession</w:t>
            </w:r>
          </w:p>
        </w:tc>
      </w:tr>
      <w:tr w:rsidR="004B194E" w:rsidRPr="004B194E" w14:paraId="406C8E8A"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985665"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**Current Status**</w:t>
            </w:r>
          </w:p>
        </w:tc>
        <w:tc>
          <w:tcPr>
            <w:tcW w:w="4320" w:type="dxa"/>
          </w:tcPr>
          <w:p w14:paraId="29370FF9"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Entered Request for Qualification (RFQ) stage early 2025 following Cabinet approval January 2025</w:t>
            </w:r>
          </w:p>
        </w:tc>
      </w:tr>
      <w:tr w:rsidR="004B194E" w:rsidRPr="004B194E" w14:paraId="5D8AF292"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FA50EC4"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**Market Interest**</w:t>
            </w:r>
          </w:p>
        </w:tc>
        <w:tc>
          <w:tcPr>
            <w:tcW w:w="4320" w:type="dxa"/>
          </w:tcPr>
          <w:p w14:paraId="1A342562"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More than 30 international companies expressed interest in RFQ</w:t>
            </w:r>
          </w:p>
        </w:tc>
      </w:tr>
      <w:tr w:rsidR="004B194E" w:rsidRPr="004B194E" w14:paraId="1A628285"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688C04E"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**Strategic Importance**</w:t>
            </w:r>
          </w:p>
        </w:tc>
        <w:tc>
          <w:tcPr>
            <w:tcW w:w="4320" w:type="dxa"/>
          </w:tcPr>
          <w:p w14:paraId="37462E14"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Significantly improves connectivity to Fergana Valley, reduces travel times, supports regional economic development</w:t>
            </w:r>
          </w:p>
        </w:tc>
      </w:tr>
    </w:tbl>
    <w:p w14:paraId="5035E635" w14:textId="77777777" w:rsidR="008E5991" w:rsidRPr="004B194E" w:rsidRDefault="008E5991" w:rsidP="0000333D">
      <w:pPr>
        <w:jc w:val="both"/>
        <w:rPr>
          <w:rFonts w:ascii="Times New Roman" w:hAnsi="Times New Roman" w:cs="Times New Roman"/>
          <w:color w:val="000000" w:themeColor="text1"/>
        </w:rPr>
      </w:pPr>
    </w:p>
    <w:p w14:paraId="3ECD5A71"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Project Rationale:</w:t>
      </w:r>
    </w:p>
    <w:p w14:paraId="67137D10"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The Fergana Valley is one of Uzbekistan's most populous and economically important regions, but connectivity from the capital Tashkent is constrained by the Kamchik Pass and inadequate road infrastructure. The TAR will:</w:t>
      </w:r>
    </w:p>
    <w:p w14:paraId="71B1AABF"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Dramatically reduce travel times between Tashkent and Fergana Valley cities</w:t>
      </w:r>
    </w:p>
    <w:p w14:paraId="47F05CB8"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Support economic integration and development</w:t>
      </w:r>
    </w:p>
    <w:p w14:paraId="6B21D815"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Facilitate trade and logistics</w:t>
      </w:r>
    </w:p>
    <w:p w14:paraId="0C6B8449"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Enhance safety through modern highway design</w:t>
      </w:r>
    </w:p>
    <w:p w14:paraId="13BE924E"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Generate regional economic benefits through improved accessibility</w:t>
      </w:r>
    </w:p>
    <w:p w14:paraId="10FF6D24"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Legal and Regulatory Framework:</w:t>
      </w:r>
    </w:p>
    <w:p w14:paraId="320AB766"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lastRenderedPageBreak/>
        <w:t>Presidential Decree PP-308 (2024) mandates development of up to 1,000 km toll highways under PPP, including the Tashkent-Andijan corridor</w:t>
      </w:r>
    </w:p>
    <w:p w14:paraId="602A9C2B"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Revised Law on Automobile Roads (2025, passed first parliamentary reading) integrates tolling provisions</w:t>
      </w:r>
    </w:p>
    <w:p w14:paraId="5DB60ED6"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PPP Law 2019 provides overall legal framework</w:t>
      </w:r>
    </w:p>
    <w:p w14:paraId="2C641331"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Tolling provisions ensure long-term financial viability through user charges</w:t>
      </w:r>
    </w:p>
    <w:p w14:paraId="16410469"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Government Support:</w:t>
      </w:r>
    </w:p>
    <w:p w14:paraId="5753002B"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Strategic priority under Development Strategy 2022-2026</w:t>
      </w:r>
    </w:p>
    <w:p w14:paraId="263A4B2A"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Presidential Decree PP-308 (2024) providing high-level political commitment</w:t>
      </w:r>
    </w:p>
    <w:p w14:paraId="2562400F"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PPP framework guarantees and potential availability payments</w:t>
      </w:r>
    </w:p>
    <w:p w14:paraId="454042F6"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Risk sharing between government and private sector</w:t>
      </w:r>
    </w:p>
    <w:p w14:paraId="4D55A418"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World Bank advisory support for PPP framework and transaction</w:t>
      </w:r>
    </w:p>
    <w:p w14:paraId="6985068E"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Potential IFI co-financing from EBRD, ADB</w:t>
      </w:r>
    </w:p>
    <w:p w14:paraId="2F596D9F"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Procurement Status:</w:t>
      </w:r>
    </w:p>
    <w:p w14:paraId="14CF4627"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Cabinet approved project January 2025</w:t>
      </w:r>
    </w:p>
    <w:p w14:paraId="6EC31464"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RFQ launched early 2025</w:t>
      </w:r>
    </w:p>
    <w:p w14:paraId="4CF23272"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More than 30 international companies expressing interest demonstrates strong market appetite</w:t>
      </w:r>
    </w:p>
    <w:p w14:paraId="02860B78"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Next steps: RFQ evaluation, shortlist qualified bidders, Request for Proposals (RFP) stage, financial close</w:t>
      </w:r>
    </w:p>
    <w:p w14:paraId="6B72BC14"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Anticipated Timeline:</w:t>
      </w:r>
    </w:p>
    <w:p w14:paraId="2BA64208"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RFQ evaluation: 2025</w:t>
      </w:r>
    </w:p>
    <w:p w14:paraId="243FF391"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RFP and bid evaluation: 2025-2026</w:t>
      </w:r>
    </w:p>
    <w:p w14:paraId="446FC02B"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Financial close: Likely 2026-2027</w:t>
      </w:r>
    </w:p>
    <w:p w14:paraId="0E2BF7D5"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Construction commencement: 2026-2027</w:t>
      </w:r>
    </w:p>
    <w:p w14:paraId="47CF616C"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Construction period: Likely 3-4 years</w:t>
      </w:r>
    </w:p>
    <w:p w14:paraId="79D94B2A"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Operations: Likely early 2030s</w:t>
      </w:r>
    </w:p>
    <w:p w14:paraId="20258FC8"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Concession end: 2070s (49-year concession from operations start)</w:t>
      </w:r>
    </w:p>
    <w:p w14:paraId="5C09B981"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Bankability and Credit Enhancements:</w:t>
      </w:r>
    </w:p>
    <w:p w14:paraId="7C1E7F7F"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1. </w:t>
      </w:r>
      <w:r w:rsidRPr="004B194E">
        <w:rPr>
          <w:rFonts w:ascii="Times New Roman" w:hAnsi="Times New Roman" w:cs="Times New Roman"/>
          <w:b/>
          <w:color w:val="000000" w:themeColor="text1"/>
        </w:rPr>
        <w:t>Long Concession Period:</w:t>
      </w:r>
      <w:r w:rsidRPr="004B194E">
        <w:rPr>
          <w:rFonts w:ascii="Times New Roman" w:hAnsi="Times New Roman" w:cs="Times New Roman"/>
          <w:color w:val="000000" w:themeColor="text1"/>
        </w:rPr>
        <w:t xml:space="preserve"> 49 years provides long-term revenue visibility</w:t>
      </w:r>
    </w:p>
    <w:p w14:paraId="390E3215"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2. </w:t>
      </w:r>
      <w:r w:rsidRPr="004B194E">
        <w:rPr>
          <w:rFonts w:ascii="Times New Roman" w:hAnsi="Times New Roman" w:cs="Times New Roman"/>
          <w:b/>
          <w:color w:val="000000" w:themeColor="text1"/>
        </w:rPr>
        <w:t>Government Guarantees:</w:t>
      </w:r>
      <w:r w:rsidRPr="004B194E">
        <w:rPr>
          <w:rFonts w:ascii="Times New Roman" w:hAnsi="Times New Roman" w:cs="Times New Roman"/>
          <w:color w:val="000000" w:themeColor="text1"/>
        </w:rPr>
        <w:t xml:space="preserve"> Potential guarantees for revenue support or availability payments</w:t>
      </w:r>
    </w:p>
    <w:p w14:paraId="70A42EB6"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3. </w:t>
      </w:r>
      <w:r w:rsidRPr="004B194E">
        <w:rPr>
          <w:rFonts w:ascii="Times New Roman" w:hAnsi="Times New Roman" w:cs="Times New Roman"/>
          <w:b/>
          <w:color w:val="000000" w:themeColor="text1"/>
        </w:rPr>
        <w:t>Legal Protections:</w:t>
      </w:r>
      <w:r w:rsidRPr="004B194E">
        <w:rPr>
          <w:rFonts w:ascii="Times New Roman" w:hAnsi="Times New Roman" w:cs="Times New Roman"/>
          <w:color w:val="000000" w:themeColor="text1"/>
        </w:rPr>
        <w:t xml:space="preserve"> International arbitration access under PPP framework</w:t>
      </w:r>
    </w:p>
    <w:p w14:paraId="65A0E936"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4. </w:t>
      </w:r>
      <w:r w:rsidRPr="004B194E">
        <w:rPr>
          <w:rFonts w:ascii="Times New Roman" w:hAnsi="Times New Roman" w:cs="Times New Roman"/>
          <w:b/>
          <w:color w:val="000000" w:themeColor="text1"/>
        </w:rPr>
        <w:t>Transparent Procurement:</w:t>
      </w:r>
      <w:r w:rsidRPr="004B194E">
        <w:rPr>
          <w:rFonts w:ascii="Times New Roman" w:hAnsi="Times New Roman" w:cs="Times New Roman"/>
          <w:color w:val="000000" w:themeColor="text1"/>
        </w:rPr>
        <w:t xml:space="preserve"> Competitive procurement per PPP Law 2019</w:t>
      </w:r>
    </w:p>
    <w:p w14:paraId="691FA870"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5. </w:t>
      </w:r>
      <w:r w:rsidRPr="004B194E">
        <w:rPr>
          <w:rFonts w:ascii="Times New Roman" w:hAnsi="Times New Roman" w:cs="Times New Roman"/>
          <w:b/>
          <w:color w:val="000000" w:themeColor="text1"/>
        </w:rPr>
        <w:t>Strategic Importance:</w:t>
      </w:r>
      <w:r w:rsidRPr="004B194E">
        <w:rPr>
          <w:rFonts w:ascii="Times New Roman" w:hAnsi="Times New Roman" w:cs="Times New Roman"/>
          <w:color w:val="000000" w:themeColor="text1"/>
        </w:rPr>
        <w:t xml:space="preserve"> National priority supporting government commitment</w:t>
      </w:r>
    </w:p>
    <w:p w14:paraId="7E8DB922"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6. </w:t>
      </w:r>
      <w:r w:rsidRPr="004B194E">
        <w:rPr>
          <w:rFonts w:ascii="Times New Roman" w:hAnsi="Times New Roman" w:cs="Times New Roman"/>
          <w:b/>
          <w:color w:val="000000" w:themeColor="text1"/>
        </w:rPr>
        <w:t>Multilateral Support:</w:t>
      </w:r>
      <w:r w:rsidRPr="004B194E">
        <w:rPr>
          <w:rFonts w:ascii="Times New Roman" w:hAnsi="Times New Roman" w:cs="Times New Roman"/>
          <w:color w:val="000000" w:themeColor="text1"/>
        </w:rPr>
        <w:t xml:space="preserve"> World Bank, EBRD, ADB involvement enhancing credibility</w:t>
      </w:r>
    </w:p>
    <w:p w14:paraId="1E045580"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7. </w:t>
      </w:r>
      <w:r w:rsidRPr="004B194E">
        <w:rPr>
          <w:rFonts w:ascii="Times New Roman" w:hAnsi="Times New Roman" w:cs="Times New Roman"/>
          <w:b/>
          <w:color w:val="000000" w:themeColor="text1"/>
        </w:rPr>
        <w:t>Toll Revenue Model:</w:t>
      </w:r>
      <w:r w:rsidRPr="004B194E">
        <w:rPr>
          <w:rFonts w:ascii="Times New Roman" w:hAnsi="Times New Roman" w:cs="Times New Roman"/>
          <w:color w:val="000000" w:themeColor="text1"/>
        </w:rPr>
        <w:t xml:space="preserve"> User-pay model with indexation provisions</w:t>
      </w:r>
    </w:p>
    <w:p w14:paraId="2750C4A0"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8. </w:t>
      </w:r>
      <w:r w:rsidRPr="004B194E">
        <w:rPr>
          <w:rFonts w:ascii="Times New Roman" w:hAnsi="Times New Roman" w:cs="Times New Roman"/>
          <w:b/>
          <w:color w:val="000000" w:themeColor="text1"/>
        </w:rPr>
        <w:t>DBFOM Structure:</w:t>
      </w:r>
      <w:r w:rsidRPr="004B194E">
        <w:rPr>
          <w:rFonts w:ascii="Times New Roman" w:hAnsi="Times New Roman" w:cs="Times New Roman"/>
          <w:color w:val="000000" w:themeColor="text1"/>
        </w:rPr>
        <w:t xml:space="preserve"> Transfers construction and operation risk to private sector</w:t>
      </w:r>
    </w:p>
    <w:p w14:paraId="6093FFA5"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lastRenderedPageBreak/>
        <w:t xml:space="preserve">9. </w:t>
      </w:r>
      <w:r w:rsidRPr="004B194E">
        <w:rPr>
          <w:rFonts w:ascii="Times New Roman" w:hAnsi="Times New Roman" w:cs="Times New Roman"/>
          <w:b/>
          <w:color w:val="000000" w:themeColor="text1"/>
        </w:rPr>
        <w:t>Precedent:</w:t>
      </w:r>
      <w:r w:rsidRPr="004B194E">
        <w:rPr>
          <w:rFonts w:ascii="Times New Roman" w:hAnsi="Times New Roman" w:cs="Times New Roman"/>
          <w:color w:val="000000" w:themeColor="text1"/>
        </w:rPr>
        <w:t xml:space="preserve"> Tashkent-Samarkand toll road PPP approved August 2024 establishing framework</w:t>
      </w:r>
    </w:p>
    <w:p w14:paraId="28C34EC2"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Financing Challenges:</w:t>
      </w:r>
    </w:p>
    <w:p w14:paraId="67B13EF1"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1. </w:t>
      </w:r>
      <w:r w:rsidRPr="004B194E">
        <w:rPr>
          <w:rFonts w:ascii="Times New Roman" w:hAnsi="Times New Roman" w:cs="Times New Roman"/>
          <w:b/>
          <w:color w:val="000000" w:themeColor="text1"/>
        </w:rPr>
        <w:t>Scale:</w:t>
      </w:r>
      <w:r w:rsidRPr="004B194E">
        <w:rPr>
          <w:rFonts w:ascii="Times New Roman" w:hAnsi="Times New Roman" w:cs="Times New Roman"/>
          <w:color w:val="000000" w:themeColor="text1"/>
        </w:rPr>
        <w:t xml:space="preserve"> USD 4.3 billion represents very large financing requirement</w:t>
      </w:r>
    </w:p>
    <w:p w14:paraId="15C894EC"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2. </w:t>
      </w:r>
      <w:r w:rsidRPr="004B194E">
        <w:rPr>
          <w:rFonts w:ascii="Times New Roman" w:hAnsi="Times New Roman" w:cs="Times New Roman"/>
          <w:b/>
          <w:color w:val="000000" w:themeColor="text1"/>
        </w:rPr>
        <w:t>Traffic Risk:</w:t>
      </w:r>
      <w:r w:rsidRPr="004B194E">
        <w:rPr>
          <w:rFonts w:ascii="Times New Roman" w:hAnsi="Times New Roman" w:cs="Times New Roman"/>
          <w:color w:val="000000" w:themeColor="text1"/>
        </w:rPr>
        <w:t xml:space="preserve"> Toll revenue depends on traffic volumes and willingness/ability to pay</w:t>
      </w:r>
    </w:p>
    <w:p w14:paraId="4B05CE64"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3. </w:t>
      </w:r>
      <w:r w:rsidRPr="004B194E">
        <w:rPr>
          <w:rFonts w:ascii="Times New Roman" w:hAnsi="Times New Roman" w:cs="Times New Roman"/>
          <w:b/>
          <w:color w:val="000000" w:themeColor="text1"/>
        </w:rPr>
        <w:t>Currency Risk:</w:t>
      </w:r>
      <w:r w:rsidRPr="004B194E">
        <w:rPr>
          <w:rFonts w:ascii="Times New Roman" w:hAnsi="Times New Roman" w:cs="Times New Roman"/>
          <w:color w:val="000000" w:themeColor="text1"/>
        </w:rPr>
        <w:t xml:space="preserve"> Limited local currency hedging; likely USD-denominated but toll revenues in UZS</w:t>
      </w:r>
    </w:p>
    <w:p w14:paraId="38CBB60F"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4. </w:t>
      </w:r>
      <w:r w:rsidRPr="004B194E">
        <w:rPr>
          <w:rFonts w:ascii="Times New Roman" w:hAnsi="Times New Roman" w:cs="Times New Roman"/>
          <w:b/>
          <w:color w:val="000000" w:themeColor="text1"/>
        </w:rPr>
        <w:t>Construction Risk:</w:t>
      </w:r>
      <w:r w:rsidRPr="004B194E">
        <w:rPr>
          <w:rFonts w:ascii="Times New Roman" w:hAnsi="Times New Roman" w:cs="Times New Roman"/>
          <w:color w:val="000000" w:themeColor="text1"/>
        </w:rPr>
        <w:t xml:space="preserve"> Challenging geography through Kamchik Pass</w:t>
      </w:r>
    </w:p>
    <w:p w14:paraId="7A142E38"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5. </w:t>
      </w:r>
      <w:r w:rsidRPr="004B194E">
        <w:rPr>
          <w:rFonts w:ascii="Times New Roman" w:hAnsi="Times New Roman" w:cs="Times New Roman"/>
          <w:b/>
          <w:color w:val="000000" w:themeColor="text1"/>
        </w:rPr>
        <w:t>Political Risk:</w:t>
      </w:r>
      <w:r w:rsidRPr="004B194E">
        <w:rPr>
          <w:rFonts w:ascii="Times New Roman" w:hAnsi="Times New Roman" w:cs="Times New Roman"/>
          <w:color w:val="000000" w:themeColor="text1"/>
        </w:rPr>
        <w:t xml:space="preserve"> Long 49-year concession creates political risk over time</w:t>
      </w:r>
    </w:p>
    <w:p w14:paraId="733E1333"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6. </w:t>
      </w:r>
      <w:r w:rsidRPr="004B194E">
        <w:rPr>
          <w:rFonts w:ascii="Times New Roman" w:hAnsi="Times New Roman" w:cs="Times New Roman"/>
          <w:b/>
          <w:color w:val="000000" w:themeColor="text1"/>
        </w:rPr>
        <w:t>Limited Track Record:</w:t>
      </w:r>
      <w:r w:rsidRPr="004B194E">
        <w:rPr>
          <w:rFonts w:ascii="Times New Roman" w:hAnsi="Times New Roman" w:cs="Times New Roman"/>
          <w:color w:val="000000" w:themeColor="text1"/>
        </w:rPr>
        <w:t xml:space="preserve"> First toll road of this scale in Uzbekistan</w:t>
      </w:r>
    </w:p>
    <w:p w14:paraId="2F738B48"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Mitigants:</w:t>
      </w:r>
    </w:p>
    <w:p w14:paraId="7EB31774"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Strong international sponsor interest (&gt;30 companies)</w:t>
      </w:r>
    </w:p>
    <w:p w14:paraId="3797B63A"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Multilateral involvement and potential co-financing</w:t>
      </w:r>
    </w:p>
    <w:p w14:paraId="523696ED"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Government risk sharing</w:t>
      </w:r>
    </w:p>
    <w:p w14:paraId="1348E35C"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Precedent of Tashkent-Samarkand toll road approval</w:t>
      </w:r>
    </w:p>
    <w:p w14:paraId="6E46EB0E"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Strategic national importance</w:t>
      </w:r>
    </w:p>
    <w:p w14:paraId="31B45F7D"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12.2 Tashkent-Samarkand Toll Road</w:t>
      </w:r>
    </w:p>
    <w:p w14:paraId="6FC00B5C"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Project Overview:</w:t>
      </w:r>
    </w:p>
    <w:p w14:paraId="3580B72B"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The second major toll road PPP, connecting two of Uzbekistan's most important cities.</w:t>
      </w:r>
    </w:p>
    <w:p w14:paraId="25FFB215"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Table 24: Tashkent-Samarkand Toll Road - Project Summary</w:t>
      </w:r>
    </w:p>
    <w:tbl>
      <w:tblPr>
        <w:tblStyle w:val="LightGrid-Accent1"/>
        <w:tblW w:w="0" w:type="auto"/>
        <w:tblLook w:val="04A0" w:firstRow="1" w:lastRow="0" w:firstColumn="1" w:lastColumn="0" w:noHBand="0" w:noVBand="1"/>
      </w:tblPr>
      <w:tblGrid>
        <w:gridCol w:w="4320"/>
        <w:gridCol w:w="4320"/>
      </w:tblGrid>
      <w:tr w:rsidR="004B194E" w:rsidRPr="004B194E" w14:paraId="016514C2" w14:textId="77777777" w:rsidTr="008E5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D5F91B7"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Parameter</w:t>
            </w:r>
          </w:p>
        </w:tc>
        <w:tc>
          <w:tcPr>
            <w:tcW w:w="4320" w:type="dxa"/>
          </w:tcPr>
          <w:p w14:paraId="3665FB43"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Details</w:t>
            </w:r>
          </w:p>
        </w:tc>
      </w:tr>
      <w:tr w:rsidR="004B194E" w:rsidRPr="004B194E" w14:paraId="104F2B43"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DD9FAAB"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**Project Name**</w:t>
            </w:r>
          </w:p>
        </w:tc>
        <w:tc>
          <w:tcPr>
            <w:tcW w:w="4320" w:type="dxa"/>
          </w:tcPr>
          <w:p w14:paraId="4E7241B2"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Tashkent-Samarkand Toll Road</w:t>
            </w:r>
          </w:p>
        </w:tc>
      </w:tr>
      <w:tr w:rsidR="004B194E" w:rsidRPr="004B194E" w14:paraId="1746570E"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83B6030"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**Sector**</w:t>
            </w:r>
          </w:p>
        </w:tc>
        <w:tc>
          <w:tcPr>
            <w:tcW w:w="4320" w:type="dxa"/>
          </w:tcPr>
          <w:p w14:paraId="28E5E9C8"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Transport - Road Infrastructure</w:t>
            </w:r>
          </w:p>
        </w:tc>
      </w:tr>
      <w:tr w:rsidR="004B194E" w:rsidRPr="004B194E" w14:paraId="35822149"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0866CD0"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**Capital Expenditure**</w:t>
            </w:r>
          </w:p>
        </w:tc>
        <w:tc>
          <w:tcPr>
            <w:tcW w:w="4320" w:type="dxa"/>
          </w:tcPr>
          <w:p w14:paraId="400907EF"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~USD 2.2 billion</w:t>
            </w:r>
          </w:p>
        </w:tc>
      </w:tr>
      <w:tr w:rsidR="004B194E" w:rsidRPr="004B194E" w14:paraId="35C32A0A"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43BB12"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**Alignment**</w:t>
            </w:r>
          </w:p>
        </w:tc>
        <w:tc>
          <w:tcPr>
            <w:tcW w:w="4320" w:type="dxa"/>
          </w:tcPr>
          <w:p w14:paraId="2D6C7B4E"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Connecting Tashkent (capital) and Samarkand (second largest city and ancient Silk Road hub)</w:t>
            </w:r>
          </w:p>
        </w:tc>
      </w:tr>
      <w:tr w:rsidR="004B194E" w:rsidRPr="004B194E" w14:paraId="09883886"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309F25"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**Current Status**</w:t>
            </w:r>
          </w:p>
        </w:tc>
        <w:tc>
          <w:tcPr>
            <w:tcW w:w="4320" w:type="dxa"/>
          </w:tcPr>
          <w:p w14:paraId="33561C4B"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Approved August 2024</w:t>
            </w:r>
          </w:p>
        </w:tc>
      </w:tr>
      <w:tr w:rsidR="004B194E" w:rsidRPr="004B194E" w14:paraId="7C598E70"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9ED26E6"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**Procurement**</w:t>
            </w:r>
          </w:p>
        </w:tc>
        <w:tc>
          <w:tcPr>
            <w:tcW w:w="4320" w:type="dxa"/>
          </w:tcPr>
          <w:p w14:paraId="29FA2491"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Tender launch planned 2025</w:t>
            </w:r>
          </w:p>
        </w:tc>
      </w:tr>
      <w:tr w:rsidR="004B194E" w:rsidRPr="004B194E" w14:paraId="68A95F5B"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2BA4EA2"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**Construction**</w:t>
            </w:r>
          </w:p>
        </w:tc>
        <w:tc>
          <w:tcPr>
            <w:tcW w:w="4320" w:type="dxa"/>
          </w:tcPr>
          <w:p w14:paraId="10675EB7"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Expected late 2025</w:t>
            </w:r>
          </w:p>
        </w:tc>
      </w:tr>
      <w:tr w:rsidR="004B194E" w:rsidRPr="004B194E" w14:paraId="23203620"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4BC0DD6"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**Operations**</w:t>
            </w:r>
          </w:p>
        </w:tc>
        <w:tc>
          <w:tcPr>
            <w:tcW w:w="4320" w:type="dxa"/>
          </w:tcPr>
          <w:p w14:paraId="7D6B942B"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Targeted 2028</w:t>
            </w:r>
          </w:p>
        </w:tc>
      </w:tr>
      <w:tr w:rsidR="004B194E" w:rsidRPr="004B194E" w14:paraId="6C3BCB6C"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5C930E2"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**Strategic Importance**</w:t>
            </w:r>
          </w:p>
        </w:tc>
        <w:tc>
          <w:tcPr>
            <w:tcW w:w="4320" w:type="dxa"/>
          </w:tcPr>
          <w:p w14:paraId="32651DFA"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Connects capital with historic cultural and economic center; demonstrates toll road model; supports trade and tourism</w:t>
            </w:r>
          </w:p>
        </w:tc>
      </w:tr>
    </w:tbl>
    <w:p w14:paraId="4CF7D2A3" w14:textId="77777777" w:rsidR="008E5991" w:rsidRPr="004B194E" w:rsidRDefault="008E5991" w:rsidP="0000333D">
      <w:pPr>
        <w:jc w:val="both"/>
        <w:rPr>
          <w:rFonts w:ascii="Times New Roman" w:hAnsi="Times New Roman" w:cs="Times New Roman"/>
          <w:color w:val="000000" w:themeColor="text1"/>
        </w:rPr>
      </w:pPr>
    </w:p>
    <w:p w14:paraId="5A58A057"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Project Significance:</w:t>
      </w:r>
    </w:p>
    <w:p w14:paraId="150BFD61"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lastRenderedPageBreak/>
        <w:t>This project is strategically important for demonstrating the toll road PPP model in Uzbekistan. Samarkand is the second largest city and a major cultural and tourism destination (ancient Silk Road hub). The toll road will:</w:t>
      </w:r>
    </w:p>
    <w:p w14:paraId="08042891"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Reduce travel time between two major cities</w:t>
      </w:r>
    </w:p>
    <w:p w14:paraId="2294EA3D"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Support tourism development (Samarkand tourism investments ongoing)</w:t>
      </w:r>
    </w:p>
    <w:p w14:paraId="45EAFC67"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Facilitate business and trade connectivity</w:t>
      </w:r>
    </w:p>
    <w:p w14:paraId="62E1D7E1"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Establish operational precedent for toll road PPPs</w:t>
      </w:r>
    </w:p>
    <w:p w14:paraId="0D23B220"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Generate demonstration effect for future projects</w:t>
      </w:r>
    </w:p>
    <w:p w14:paraId="2D7531DE"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Timeline:</w:t>
      </w:r>
      <w:r w:rsidRPr="004B194E">
        <w:rPr>
          <w:rFonts w:ascii="Times New Roman" w:hAnsi="Times New Roman" w:cs="Times New Roman"/>
          <w:color w:val="000000" w:themeColor="text1"/>
        </w:rPr>
        <w:t xml:space="preserve"> More advanced than Tashkent-Andijan, with tender launch planned 2025, construction expected late 2025, and operations targeted 2028.</w:t>
      </w:r>
    </w:p>
    <w:p w14:paraId="0406ECFD"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EBRD Advisory Support:</w:t>
      </w:r>
      <w:r w:rsidRPr="004B194E">
        <w:rPr>
          <w:rFonts w:ascii="Times New Roman" w:hAnsi="Times New Roman" w:cs="Times New Roman"/>
          <w:color w:val="000000" w:themeColor="text1"/>
        </w:rPr>
        <w:t xml:space="preserve"> EBRD advised on the Tashkent-Samarkand toll road PPP, providing transaction advisory and framework development.</w:t>
      </w:r>
    </w:p>
    <w:p w14:paraId="18BE6980"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12.3 Talimarjan Thermal Power Plant Privatization</w:t>
      </w:r>
    </w:p>
    <w:p w14:paraId="5BE200D5"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Project Overview:</w:t>
      </w:r>
    </w:p>
    <w:p w14:paraId="0846C11A"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Landmark privatization demonstrating Uzbekistan's commitment to SOE reform and attracting major international investors to the energy sector.</w:t>
      </w:r>
    </w:p>
    <w:p w14:paraId="1D6AAE22"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Table 25: Talimarjan TPP Privatization - Transaction Summary</w:t>
      </w:r>
    </w:p>
    <w:tbl>
      <w:tblPr>
        <w:tblStyle w:val="LightGrid-Accent1"/>
        <w:tblW w:w="0" w:type="auto"/>
        <w:tblLook w:val="04A0" w:firstRow="1" w:lastRow="0" w:firstColumn="1" w:lastColumn="0" w:noHBand="0" w:noVBand="1"/>
      </w:tblPr>
      <w:tblGrid>
        <w:gridCol w:w="4320"/>
        <w:gridCol w:w="4320"/>
      </w:tblGrid>
      <w:tr w:rsidR="004B194E" w:rsidRPr="004B194E" w14:paraId="71E6941E" w14:textId="77777777" w:rsidTr="008E5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0A6FDDC"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Parameter</w:t>
            </w:r>
          </w:p>
        </w:tc>
        <w:tc>
          <w:tcPr>
            <w:tcW w:w="4320" w:type="dxa"/>
          </w:tcPr>
          <w:p w14:paraId="41659A8B"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Details</w:t>
            </w:r>
          </w:p>
        </w:tc>
      </w:tr>
      <w:tr w:rsidR="004B194E" w:rsidRPr="004B194E" w14:paraId="523F5C19"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CD49FF"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**Project Name**</w:t>
            </w:r>
          </w:p>
        </w:tc>
        <w:tc>
          <w:tcPr>
            <w:tcW w:w="4320" w:type="dxa"/>
          </w:tcPr>
          <w:p w14:paraId="1F9C824C"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Talimarjan Thermal Power Plant (TPP) Privatization</w:t>
            </w:r>
          </w:p>
        </w:tc>
      </w:tr>
      <w:tr w:rsidR="004B194E" w:rsidRPr="004B194E" w14:paraId="2AB70ED7"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3BD17A7"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**Sector**</w:t>
            </w:r>
          </w:p>
        </w:tc>
        <w:tc>
          <w:tcPr>
            <w:tcW w:w="4320" w:type="dxa"/>
          </w:tcPr>
          <w:p w14:paraId="68414313"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Energy - Power Generation</w:t>
            </w:r>
          </w:p>
        </w:tc>
      </w:tr>
      <w:tr w:rsidR="004B194E" w:rsidRPr="004B194E" w14:paraId="7B3C2A19"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BC106E7"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**Transaction Type**</w:t>
            </w:r>
          </w:p>
        </w:tc>
        <w:tc>
          <w:tcPr>
            <w:tcW w:w="4320" w:type="dxa"/>
          </w:tcPr>
          <w:p w14:paraId="4732999E"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Privatization (80% stake sale)</w:t>
            </w:r>
          </w:p>
        </w:tc>
      </w:tr>
      <w:tr w:rsidR="004B194E" w:rsidRPr="004B194E" w14:paraId="38D9462D"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27E9E8"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**Buyers**</w:t>
            </w:r>
          </w:p>
        </w:tc>
        <w:tc>
          <w:tcPr>
            <w:tcW w:w="4320" w:type="dxa"/>
          </w:tcPr>
          <w:p w14:paraId="6C45479D"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Mubadala Investment Company (UAE) - 40%; Abu Dhabi National Energy Company TAQA (UAE) - 40%</w:t>
            </w:r>
          </w:p>
        </w:tc>
      </w:tr>
      <w:tr w:rsidR="004B194E" w:rsidRPr="004B194E" w14:paraId="2880E1EE"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65F4CF"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**Transaction Value**</w:t>
            </w:r>
          </w:p>
        </w:tc>
        <w:tc>
          <w:tcPr>
            <w:tcW w:w="4320" w:type="dxa"/>
          </w:tcPr>
          <w:p w14:paraId="1C6D4F1E"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~USD 1.7 billion equivalent</w:t>
            </w:r>
          </w:p>
        </w:tc>
      </w:tr>
      <w:tr w:rsidR="004B194E" w:rsidRPr="004B194E" w14:paraId="08BF49BC"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68427F"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**Completion**</w:t>
            </w:r>
          </w:p>
        </w:tc>
        <w:tc>
          <w:tcPr>
            <w:tcW w:w="4320" w:type="dxa"/>
          </w:tcPr>
          <w:p w14:paraId="01CBF694"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2025</w:t>
            </w:r>
          </w:p>
        </w:tc>
      </w:tr>
      <w:tr w:rsidR="004B194E" w:rsidRPr="004B194E" w14:paraId="4499E085"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D7C6D18"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**Revenue Model**</w:t>
            </w:r>
          </w:p>
        </w:tc>
        <w:tc>
          <w:tcPr>
            <w:tcW w:w="4320" w:type="dxa"/>
          </w:tcPr>
          <w:p w14:paraId="1971FA3E"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25-year Power Purchase Agreement (PPA) with JSC Uzenergosotish (national offtaker)</w:t>
            </w:r>
          </w:p>
        </w:tc>
      </w:tr>
      <w:tr w:rsidR="004B194E" w:rsidRPr="004B194E" w14:paraId="5EEAD03E"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E473527"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**Strategic Significance**</w:t>
            </w:r>
          </w:p>
        </w:tc>
        <w:tc>
          <w:tcPr>
            <w:tcW w:w="4320" w:type="dxa"/>
          </w:tcPr>
          <w:p w14:paraId="6CCF11CD"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Largest privatization in Uzbekistan; demonstrates SOE reform commitment; attracts major international institutional investors; establishes framework for future energy privatizations</w:t>
            </w:r>
          </w:p>
        </w:tc>
      </w:tr>
    </w:tbl>
    <w:p w14:paraId="7143D494" w14:textId="77777777" w:rsidR="008E5991" w:rsidRPr="004B194E" w:rsidRDefault="008E5991" w:rsidP="0000333D">
      <w:pPr>
        <w:jc w:val="both"/>
        <w:rPr>
          <w:rFonts w:ascii="Times New Roman" w:hAnsi="Times New Roman" w:cs="Times New Roman"/>
          <w:color w:val="000000" w:themeColor="text1"/>
        </w:rPr>
      </w:pPr>
    </w:p>
    <w:p w14:paraId="523F2DD9"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Transaction Significance:</w:t>
      </w:r>
    </w:p>
    <w:p w14:paraId="5CCEAFE1"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This represents Uzbekistan's largest privatization to date and a landmark transaction demonstrating:</w:t>
      </w:r>
    </w:p>
    <w:p w14:paraId="003E209C"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lastRenderedPageBreak/>
        <w:t xml:space="preserve">1. </w:t>
      </w:r>
      <w:r w:rsidRPr="004B194E">
        <w:rPr>
          <w:rFonts w:ascii="Times New Roman" w:hAnsi="Times New Roman" w:cs="Times New Roman"/>
          <w:b/>
          <w:color w:val="000000" w:themeColor="text1"/>
        </w:rPr>
        <w:t>SOE Reform Commitment:</w:t>
      </w:r>
      <w:r w:rsidRPr="004B194E">
        <w:rPr>
          <w:rFonts w:ascii="Times New Roman" w:hAnsi="Times New Roman" w:cs="Times New Roman"/>
          <w:color w:val="000000" w:themeColor="text1"/>
        </w:rPr>
        <w:t xml:space="preserve"> Tangible progress on SOE privatization agenda</w:t>
      </w:r>
    </w:p>
    <w:p w14:paraId="6A75BA4A"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2. </w:t>
      </w:r>
      <w:r w:rsidRPr="004B194E">
        <w:rPr>
          <w:rFonts w:ascii="Times New Roman" w:hAnsi="Times New Roman" w:cs="Times New Roman"/>
          <w:b/>
          <w:color w:val="000000" w:themeColor="text1"/>
        </w:rPr>
        <w:t>Investor Confidence:</w:t>
      </w:r>
      <w:r w:rsidRPr="004B194E">
        <w:rPr>
          <w:rFonts w:ascii="Times New Roman" w:hAnsi="Times New Roman" w:cs="Times New Roman"/>
          <w:color w:val="000000" w:themeColor="text1"/>
        </w:rPr>
        <w:t xml:space="preserve"> Attraction of major international institutional investors (Mubadala, TAQA)</w:t>
      </w:r>
    </w:p>
    <w:p w14:paraId="41789CE0"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3. </w:t>
      </w:r>
      <w:r w:rsidRPr="004B194E">
        <w:rPr>
          <w:rFonts w:ascii="Times New Roman" w:hAnsi="Times New Roman" w:cs="Times New Roman"/>
          <w:b/>
          <w:color w:val="000000" w:themeColor="text1"/>
        </w:rPr>
        <w:t>Energy Sector Opening:</w:t>
      </w:r>
      <w:r w:rsidRPr="004B194E">
        <w:rPr>
          <w:rFonts w:ascii="Times New Roman" w:hAnsi="Times New Roman" w:cs="Times New Roman"/>
          <w:color w:val="000000" w:themeColor="text1"/>
        </w:rPr>
        <w:t xml:space="preserve"> Private participation in strategic power generation sector</w:t>
      </w:r>
    </w:p>
    <w:p w14:paraId="4B270621"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4. </w:t>
      </w:r>
      <w:r w:rsidRPr="004B194E">
        <w:rPr>
          <w:rFonts w:ascii="Times New Roman" w:hAnsi="Times New Roman" w:cs="Times New Roman"/>
          <w:b/>
          <w:color w:val="000000" w:themeColor="text1"/>
        </w:rPr>
        <w:t>Revenue Certainty:</w:t>
      </w:r>
      <w:r w:rsidRPr="004B194E">
        <w:rPr>
          <w:rFonts w:ascii="Times New Roman" w:hAnsi="Times New Roman" w:cs="Times New Roman"/>
          <w:color w:val="000000" w:themeColor="text1"/>
        </w:rPr>
        <w:t xml:space="preserve"> 25-year PPA provides long-term revenue visibility and bankability</w:t>
      </w:r>
    </w:p>
    <w:p w14:paraId="33230824"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5. </w:t>
      </w:r>
      <w:r w:rsidRPr="004B194E">
        <w:rPr>
          <w:rFonts w:ascii="Times New Roman" w:hAnsi="Times New Roman" w:cs="Times New Roman"/>
          <w:b/>
          <w:color w:val="000000" w:themeColor="text1"/>
        </w:rPr>
        <w:t>Precedent:</w:t>
      </w:r>
      <w:r w:rsidRPr="004B194E">
        <w:rPr>
          <w:rFonts w:ascii="Times New Roman" w:hAnsi="Times New Roman" w:cs="Times New Roman"/>
          <w:color w:val="000000" w:themeColor="text1"/>
        </w:rPr>
        <w:t xml:space="preserve"> Establishes framework and precedent for future energy sector privatizations</w:t>
      </w:r>
    </w:p>
    <w:p w14:paraId="61FC12FC"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6. </w:t>
      </w:r>
      <w:r w:rsidRPr="004B194E">
        <w:rPr>
          <w:rFonts w:ascii="Times New Roman" w:hAnsi="Times New Roman" w:cs="Times New Roman"/>
          <w:b/>
          <w:color w:val="000000" w:themeColor="text1"/>
        </w:rPr>
        <w:t>FDI Attraction:</w:t>
      </w:r>
      <w:r w:rsidRPr="004B194E">
        <w:rPr>
          <w:rFonts w:ascii="Times New Roman" w:hAnsi="Times New Roman" w:cs="Times New Roman"/>
          <w:color w:val="000000" w:themeColor="text1"/>
        </w:rPr>
        <w:t xml:space="preserve"> Major FDI transaction (~USD 1.7 billion) supporting balance of payments</w:t>
      </w:r>
    </w:p>
    <w:p w14:paraId="1E713972"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Power Purchase Agreement:</w:t>
      </w:r>
      <w:r w:rsidRPr="004B194E">
        <w:rPr>
          <w:rFonts w:ascii="Times New Roman" w:hAnsi="Times New Roman" w:cs="Times New Roman"/>
          <w:color w:val="000000" w:themeColor="text1"/>
        </w:rPr>
        <w:t xml:space="preserve"> The 25-year PPA with JSC Uzenergosotish (national offtaker) ensures cost recovery and provides payment security backed by sovereign credit, critical for bankability of the transaction.</w:t>
      </w:r>
    </w:p>
    <w:p w14:paraId="78B59377"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Buyers Profile:</w:t>
      </w:r>
      <w:r w:rsidRPr="004B194E">
        <w:rPr>
          <w:rFonts w:ascii="Times New Roman" w:hAnsi="Times New Roman" w:cs="Times New Roman"/>
          <w:color w:val="000000" w:themeColor="text1"/>
        </w:rPr>
        <w:t xml:space="preserve"> Mubadala Investment Company and TAQA are sophisticated, well-capitalized Abu Dhabi-based institutional investors with extensive experience in energy sector investments globally, bringing not only capital but also operational expertise and international best practices.</w:t>
      </w:r>
    </w:p>
    <w:p w14:paraId="68E74041"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12.4 Renewable Energy Projects</w:t>
      </w:r>
    </w:p>
    <w:p w14:paraId="0A98D98E"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Solar PV Plants:</w:t>
      </w:r>
    </w:p>
    <w:p w14:paraId="24DECB31"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Operational (200MW Combined):</w:t>
      </w:r>
    </w:p>
    <w:p w14:paraId="1225EFE5"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Two solar PV plants in Navoi and Samarkand regions</w:t>
      </w:r>
    </w:p>
    <w:p w14:paraId="5470D68B"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Combined 200MW capacity</w:t>
      </w:r>
    </w:p>
    <w:p w14:paraId="07E36EBD"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Equivalent to heating 20,000 homes yearly</w:t>
      </w:r>
    </w:p>
    <w:p w14:paraId="3B1BECC7"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Represents Uzbekistan's first two privately owned renewable energy projects co-financed by EBRD</w:t>
      </w:r>
    </w:p>
    <w:p w14:paraId="395756E6"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Demonstrates renewable energy PPP model</w:t>
      </w:r>
    </w:p>
    <w:p w14:paraId="66AD8FC4"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Wind Power Plant:</w:t>
      </w:r>
    </w:p>
    <w:p w14:paraId="2B7146B8"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Table 26: Navoi Wind Power Plant - Project Summary</w:t>
      </w:r>
    </w:p>
    <w:tbl>
      <w:tblPr>
        <w:tblStyle w:val="LightGrid-Accent1"/>
        <w:tblW w:w="0" w:type="auto"/>
        <w:tblLook w:val="04A0" w:firstRow="1" w:lastRow="0" w:firstColumn="1" w:lastColumn="0" w:noHBand="0" w:noVBand="1"/>
      </w:tblPr>
      <w:tblGrid>
        <w:gridCol w:w="4320"/>
        <w:gridCol w:w="4320"/>
      </w:tblGrid>
      <w:tr w:rsidR="004B194E" w:rsidRPr="004B194E" w14:paraId="00FC3801" w14:textId="77777777" w:rsidTr="008E5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B2C5A1"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Parameter</w:t>
            </w:r>
          </w:p>
        </w:tc>
        <w:tc>
          <w:tcPr>
            <w:tcW w:w="4320" w:type="dxa"/>
          </w:tcPr>
          <w:p w14:paraId="6C548196"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Details</w:t>
            </w:r>
          </w:p>
        </w:tc>
      </w:tr>
      <w:tr w:rsidR="004B194E" w:rsidRPr="004B194E" w14:paraId="2C3B87C6"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6FD300A"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**Project Name**</w:t>
            </w:r>
          </w:p>
        </w:tc>
        <w:tc>
          <w:tcPr>
            <w:tcW w:w="4320" w:type="dxa"/>
          </w:tcPr>
          <w:p w14:paraId="1A28D9E3"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Navoi Wind Power Plant</w:t>
            </w:r>
          </w:p>
        </w:tc>
      </w:tr>
      <w:tr w:rsidR="004B194E" w:rsidRPr="004B194E" w14:paraId="4C84A651"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D47426"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**Sector**</w:t>
            </w:r>
          </w:p>
        </w:tc>
        <w:tc>
          <w:tcPr>
            <w:tcW w:w="4320" w:type="dxa"/>
          </w:tcPr>
          <w:p w14:paraId="2B7898A4"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Energy - Renewable Energy (Wind)</w:t>
            </w:r>
          </w:p>
        </w:tc>
      </w:tr>
      <w:tr w:rsidR="004B194E" w:rsidRPr="004B194E" w14:paraId="3735CD8F"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7ED60FF"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**Capacity**</w:t>
            </w:r>
          </w:p>
        </w:tc>
        <w:tc>
          <w:tcPr>
            <w:tcW w:w="4320" w:type="dxa"/>
          </w:tcPr>
          <w:p w14:paraId="08AEDBE0"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500MW greenfield wind power</w:t>
            </w:r>
          </w:p>
        </w:tc>
      </w:tr>
      <w:tr w:rsidR="004B194E" w:rsidRPr="004B194E" w14:paraId="37605DD4"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61BAEBC"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**Location**</w:t>
            </w:r>
          </w:p>
        </w:tc>
        <w:tc>
          <w:tcPr>
            <w:tcW w:w="4320" w:type="dxa"/>
          </w:tcPr>
          <w:p w14:paraId="0F0B163A"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Navoi region</w:t>
            </w:r>
          </w:p>
        </w:tc>
      </w:tr>
      <w:tr w:rsidR="004B194E" w:rsidRPr="004B194E" w14:paraId="31A8CB90"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6FC4EAF"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**EBRD Financing**</w:t>
            </w:r>
          </w:p>
        </w:tc>
        <w:tc>
          <w:tcPr>
            <w:tcW w:w="4320" w:type="dxa"/>
          </w:tcPr>
          <w:p w14:paraId="186339B0"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USD 74 million</w:t>
            </w:r>
          </w:p>
        </w:tc>
      </w:tr>
      <w:tr w:rsidR="004B194E" w:rsidRPr="004B194E" w14:paraId="5CEF1E2F"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39616C0"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**Status**</w:t>
            </w:r>
          </w:p>
        </w:tc>
        <w:tc>
          <w:tcPr>
            <w:tcW w:w="4320" w:type="dxa"/>
          </w:tcPr>
          <w:p w14:paraId="1FF38983"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Under development</w:t>
            </w:r>
          </w:p>
        </w:tc>
      </w:tr>
      <w:tr w:rsidR="004B194E" w:rsidRPr="004B194E" w14:paraId="709E4115"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C65E8BC"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**Environmental Innovation**</w:t>
            </w:r>
          </w:p>
        </w:tc>
        <w:tc>
          <w:tcPr>
            <w:tcW w:w="4320" w:type="dxa"/>
          </w:tcPr>
          <w:p w14:paraId="4C9E5135"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Introducing 'Identiflight' system (first in Central Asia) to monitor species at risk of turbine collision, minimizing environmental impact</w:t>
            </w:r>
          </w:p>
        </w:tc>
      </w:tr>
      <w:tr w:rsidR="004B194E" w:rsidRPr="004B194E" w14:paraId="0CAA6C26"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233B2E0"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**Strategic Importance**</w:t>
            </w:r>
          </w:p>
        </w:tc>
        <w:tc>
          <w:tcPr>
            <w:tcW w:w="4320" w:type="dxa"/>
          </w:tcPr>
          <w:p w14:paraId="1461F2C0"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 xml:space="preserve">Large-scale renewable energy; demonstrates wind power viability; supports low carbon </w:t>
            </w:r>
            <w:r w:rsidRPr="004B194E">
              <w:rPr>
                <w:rFonts w:ascii="Times New Roman" w:hAnsi="Times New Roman" w:cs="Times New Roman"/>
                <w:color w:val="000000" w:themeColor="text1"/>
              </w:rPr>
              <w:lastRenderedPageBreak/>
              <w:t>pathway to carbon neutrality in electricity by 2050</w:t>
            </w:r>
          </w:p>
        </w:tc>
      </w:tr>
    </w:tbl>
    <w:p w14:paraId="0103A15C" w14:textId="77777777" w:rsidR="008E5991" w:rsidRPr="004B194E" w:rsidRDefault="008E5991" w:rsidP="0000333D">
      <w:pPr>
        <w:jc w:val="both"/>
        <w:rPr>
          <w:rFonts w:ascii="Times New Roman" w:hAnsi="Times New Roman" w:cs="Times New Roman"/>
          <w:color w:val="000000" w:themeColor="text1"/>
        </w:rPr>
      </w:pPr>
    </w:p>
    <w:p w14:paraId="0351F8B4"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Renewable Energy Framework:</w:t>
      </w:r>
    </w:p>
    <w:p w14:paraId="7ABEC04B"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Transparent competitive regime for renewable power auctions (EBRD advised)</w:t>
      </w:r>
    </w:p>
    <w:p w14:paraId="02E3FDB6"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PPA structures providing revenue certainty</w:t>
      </w:r>
    </w:p>
    <w:p w14:paraId="7F88EF07"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Government commitment via low carbon pathway to carbon neutrality by 2050</w:t>
      </w:r>
    </w:p>
    <w:p w14:paraId="4346DD6D"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Global Methane Pledge participation</w:t>
      </w:r>
    </w:p>
    <w:p w14:paraId="10A96F26"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Green Economy Financing Facility supporting SME climate investments</w:t>
      </w:r>
    </w:p>
    <w:p w14:paraId="4F19C265"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Pipeline:</w:t>
      </w:r>
      <w:r w:rsidRPr="004B194E">
        <w:rPr>
          <w:rFonts w:ascii="Times New Roman" w:hAnsi="Times New Roman" w:cs="Times New Roman"/>
          <w:color w:val="000000" w:themeColor="text1"/>
        </w:rPr>
        <w:t xml:space="preserve"> Further renewable energy capacity in planning to achieve carbon neutrality in electricity by 2050 per adopted low carbon pathway.</w:t>
      </w:r>
    </w:p>
    <w:p w14:paraId="2A43825F"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12.5 China-Kyrgyzstan-Uzbekistan Railway</w:t>
      </w:r>
    </w:p>
    <w:p w14:paraId="7AED3CA4"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Project Overview:</w:t>
      </w:r>
    </w:p>
    <w:p w14:paraId="7A3C6060"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Transformational regional connectivity infrastructure addressing Uzbekistan's double landlocked geography.</w:t>
      </w:r>
    </w:p>
    <w:p w14:paraId="794A4C5E"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Table 27: CKU Railway - Project Summary</w:t>
      </w:r>
    </w:p>
    <w:tbl>
      <w:tblPr>
        <w:tblStyle w:val="LightGrid-Accent1"/>
        <w:tblW w:w="0" w:type="auto"/>
        <w:tblLook w:val="04A0" w:firstRow="1" w:lastRow="0" w:firstColumn="1" w:lastColumn="0" w:noHBand="0" w:noVBand="1"/>
      </w:tblPr>
      <w:tblGrid>
        <w:gridCol w:w="4320"/>
        <w:gridCol w:w="4320"/>
      </w:tblGrid>
      <w:tr w:rsidR="004B194E" w:rsidRPr="004B194E" w14:paraId="79C44DE4" w14:textId="77777777" w:rsidTr="008E599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26097FA"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Parameter</w:t>
            </w:r>
          </w:p>
        </w:tc>
        <w:tc>
          <w:tcPr>
            <w:tcW w:w="4320" w:type="dxa"/>
          </w:tcPr>
          <w:p w14:paraId="3EB325F7" w14:textId="77777777" w:rsidR="008E5991" w:rsidRPr="004B194E" w:rsidRDefault="00000000" w:rsidP="0000333D">
            <w:pPr>
              <w:spacing w:line="276"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Details</w:t>
            </w:r>
          </w:p>
        </w:tc>
      </w:tr>
      <w:tr w:rsidR="004B194E" w:rsidRPr="004B194E" w14:paraId="110EE293"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AED29DF"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**Project Name**</w:t>
            </w:r>
          </w:p>
        </w:tc>
        <w:tc>
          <w:tcPr>
            <w:tcW w:w="4320" w:type="dxa"/>
          </w:tcPr>
          <w:p w14:paraId="776C4E90"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China-Kyrgyzstan-Uzbekistan (CKU) Railway</w:t>
            </w:r>
          </w:p>
        </w:tc>
      </w:tr>
      <w:tr w:rsidR="004B194E" w:rsidRPr="004B194E" w14:paraId="5E282494"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316E96A"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**Sector**</w:t>
            </w:r>
          </w:p>
        </w:tc>
        <w:tc>
          <w:tcPr>
            <w:tcW w:w="4320" w:type="dxa"/>
          </w:tcPr>
          <w:p w14:paraId="210529FA"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Transport - Railway Infrastructure</w:t>
            </w:r>
          </w:p>
        </w:tc>
      </w:tr>
      <w:tr w:rsidR="004B194E" w:rsidRPr="004B194E" w14:paraId="0BA6DE1B"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5101A8E"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**Alignment**</w:t>
            </w:r>
          </w:p>
        </w:tc>
        <w:tc>
          <w:tcPr>
            <w:tcW w:w="4320" w:type="dxa"/>
          </w:tcPr>
          <w:p w14:paraId="15D79CCB"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~486 km linking Kashgar (China) through Kyrgyzstan to Andijan (Uzbekistan)</w:t>
            </w:r>
          </w:p>
        </w:tc>
      </w:tr>
      <w:tr w:rsidR="004B194E" w:rsidRPr="004B194E" w14:paraId="4A4DAECF"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BA37ACB"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**Status**</w:t>
            </w:r>
          </w:p>
        </w:tc>
        <w:tc>
          <w:tcPr>
            <w:tcW w:w="4320" w:type="dxa"/>
          </w:tcPr>
          <w:p w14:paraId="69AA6E13"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Under construction</w:t>
            </w:r>
          </w:p>
        </w:tc>
      </w:tr>
      <w:tr w:rsidR="004B194E" w:rsidRPr="004B194E" w14:paraId="7D4557BB" w14:textId="77777777" w:rsidTr="008E599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21382839"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**Strategic Impact**</w:t>
            </w:r>
          </w:p>
        </w:tc>
        <w:tc>
          <w:tcPr>
            <w:tcW w:w="4320" w:type="dxa"/>
          </w:tcPr>
          <w:p w14:paraId="026BD134" w14:textId="77777777" w:rsidR="008E5991" w:rsidRPr="004B194E" w:rsidRDefault="00000000" w:rsidP="0000333D">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Cuts freight distances ~900 km and transport time up to 7 days versus current routes through Kazakhstan</w:t>
            </w:r>
          </w:p>
        </w:tc>
      </w:tr>
      <w:tr w:rsidR="004B194E" w:rsidRPr="004B194E" w14:paraId="0E3F077B" w14:textId="77777777" w:rsidTr="008E599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843A8B4" w14:textId="77777777" w:rsidR="008E5991" w:rsidRPr="004B194E" w:rsidRDefault="00000000" w:rsidP="0000333D">
            <w:pPr>
              <w:spacing w:line="276" w:lineRule="auto"/>
              <w:jc w:val="both"/>
              <w:rPr>
                <w:rFonts w:ascii="Times New Roman" w:hAnsi="Times New Roman" w:cs="Times New Roman"/>
                <w:color w:val="000000" w:themeColor="text1"/>
              </w:rPr>
            </w:pPr>
            <w:r w:rsidRPr="004B194E">
              <w:rPr>
                <w:rFonts w:ascii="Times New Roman" w:hAnsi="Times New Roman" w:cs="Times New Roman"/>
                <w:color w:val="000000" w:themeColor="text1"/>
              </w:rPr>
              <w:t>**Significance**</w:t>
            </w:r>
          </w:p>
        </w:tc>
        <w:tc>
          <w:tcPr>
            <w:tcW w:w="4320" w:type="dxa"/>
          </w:tcPr>
          <w:p w14:paraId="06ABF768" w14:textId="77777777" w:rsidR="008E5991" w:rsidRPr="004B194E" w:rsidRDefault="00000000" w:rsidP="0000333D">
            <w:pPr>
              <w:spacing w:line="276" w:lineRule="auto"/>
              <w:jc w:val="both"/>
              <w:cnfStyle w:val="000000010000" w:firstRow="0" w:lastRow="0" w:firstColumn="0" w:lastColumn="0" w:oddVBand="0" w:evenVBand="0" w:oddHBand="0" w:evenHBand="1" w:firstRowFirstColumn="0" w:firstRowLastColumn="0" w:lastRowFirstColumn="0" w:lastRowLastColumn="0"/>
              <w:rPr>
                <w:rFonts w:ascii="Times New Roman" w:hAnsi="Times New Roman" w:cs="Times New Roman"/>
                <w:color w:val="000000" w:themeColor="text1"/>
              </w:rPr>
            </w:pPr>
            <w:r w:rsidRPr="004B194E">
              <w:rPr>
                <w:rFonts w:ascii="Times New Roman" w:hAnsi="Times New Roman" w:cs="Times New Roman"/>
                <w:color w:val="000000" w:themeColor="text1"/>
              </w:rPr>
              <w:t>Transformational for connectivity to China; alternative to Kazakhstan transit dependence; supports trade integration; part of Belt and Road Initiative</w:t>
            </w:r>
          </w:p>
        </w:tc>
      </w:tr>
    </w:tbl>
    <w:p w14:paraId="230EC417" w14:textId="77777777" w:rsidR="008E5991" w:rsidRPr="004B194E" w:rsidRDefault="008E5991" w:rsidP="0000333D">
      <w:pPr>
        <w:jc w:val="both"/>
        <w:rPr>
          <w:rFonts w:ascii="Times New Roman" w:hAnsi="Times New Roman" w:cs="Times New Roman"/>
          <w:color w:val="000000" w:themeColor="text1"/>
        </w:rPr>
      </w:pPr>
    </w:p>
    <w:p w14:paraId="088567FF"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Geographic and Strategic Context:</w:t>
      </w:r>
    </w:p>
    <w:p w14:paraId="00F3599D"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Uzbekistan's double landlocked geography (surrounded by other landlocked countries) creates severe trade and connectivity constraints. The CKU railway represents a transformational infrastructure project that:</w:t>
      </w:r>
    </w:p>
    <w:p w14:paraId="12C18373"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Provides direct rail connectivity to China (major trading partner)</w:t>
      </w:r>
    </w:p>
    <w:p w14:paraId="24DC9B16"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Reduces dependence on Kazakhstan for transit to/from China</w:t>
      </w:r>
    </w:p>
    <w:p w14:paraId="3E3664D6"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Cuts freight distances approximately 900 km</w:t>
      </w:r>
    </w:p>
    <w:p w14:paraId="47C72CA9"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lastRenderedPageBreak/>
        <w:t>Reduces transport time up to 7 days</w:t>
      </w:r>
    </w:p>
    <w:p w14:paraId="3F09397E"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Supports trade expansion and regional value chain integration</w:t>
      </w:r>
    </w:p>
    <w:p w14:paraId="5FEF7867"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Aligns with Belt and Road Initiative</w:t>
      </w:r>
    </w:p>
    <w:p w14:paraId="00EAFB43"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Regional Cooperation:</w:t>
      </w:r>
      <w:r w:rsidRPr="004B194E">
        <w:rPr>
          <w:rFonts w:ascii="Times New Roman" w:hAnsi="Times New Roman" w:cs="Times New Roman"/>
          <w:color w:val="000000" w:themeColor="text1"/>
        </w:rPr>
        <w:t xml:space="preserve"> This trilateral project demonstrates improving regional relations and cooperation since Uzbekistan's 2017 reform opening.</w:t>
      </w:r>
    </w:p>
    <w:p w14:paraId="51B5E5C6"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Complementarity with Toll Roads:</w:t>
      </w:r>
      <w:r w:rsidRPr="004B194E">
        <w:rPr>
          <w:rFonts w:ascii="Times New Roman" w:hAnsi="Times New Roman" w:cs="Times New Roman"/>
          <w:color w:val="000000" w:themeColor="text1"/>
        </w:rPr>
        <w:t xml:space="preserve"> The CKU railway and toll road network (Tashkent-Andijan, Tashkent-Samarkand) are complementary, creating multimodal connectivity improvements addressing Uzbekistan's fundamental geographic constraint.</w:t>
      </w:r>
    </w:p>
    <w:p w14:paraId="4A3CABC1" w14:textId="77777777" w:rsidR="008E5991" w:rsidRPr="004B194E" w:rsidRDefault="008E5991" w:rsidP="0000333D">
      <w:pPr>
        <w:spacing w:before="120" w:after="120"/>
        <w:jc w:val="both"/>
        <w:rPr>
          <w:rFonts w:ascii="Times New Roman" w:hAnsi="Times New Roman" w:cs="Times New Roman"/>
          <w:color w:val="000000" w:themeColor="text1"/>
        </w:rPr>
      </w:pPr>
    </w:p>
    <w:p w14:paraId="5D6F4F90" w14:textId="77777777" w:rsidR="004D213B" w:rsidRDefault="004D213B" w:rsidP="0000333D">
      <w:pPr>
        <w:pStyle w:val="Heading1"/>
        <w:jc w:val="both"/>
        <w:sectPr w:rsidR="004D213B" w:rsidSect="00034616">
          <w:pgSz w:w="12240" w:h="15840"/>
          <w:pgMar w:top="1440" w:right="1800" w:bottom="1440" w:left="1800" w:header="720" w:footer="720" w:gutter="0"/>
          <w:cols w:space="720"/>
          <w:docGrid w:linePitch="360"/>
        </w:sectPr>
      </w:pPr>
    </w:p>
    <w:p w14:paraId="1495F3B7" w14:textId="77777777" w:rsidR="008E5991" w:rsidRPr="004B194E" w:rsidRDefault="00000000" w:rsidP="0000333D">
      <w:pPr>
        <w:pStyle w:val="Heading1"/>
        <w:jc w:val="both"/>
      </w:pPr>
      <w:r w:rsidRPr="004B194E">
        <w:lastRenderedPageBreak/>
        <w:t>13. CONCLUSIONS AND RECOMMENDATIONS</w:t>
      </w:r>
    </w:p>
    <w:p w14:paraId="57B37CD6"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13.1 Summary Assessment</w:t>
      </w:r>
    </w:p>
    <w:p w14:paraId="1BC8F0EA"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Uzbekistan has undergone a remarkable economic transformation since 2017, driven by bold reforms including currency liberalization, trade opening, price liberalization, and SOE reform initiatives. The economy has demonstrated robust growth averaging 5.7% over 2018-2023, reaching 6.5% in 2024, with projections of sustained growth at 5.5-6.0% medium-term.</w:t>
      </w:r>
    </w:p>
    <w:p w14:paraId="06CF0C51"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Key Strengths:</w:t>
      </w:r>
    </w:p>
    <w:p w14:paraId="50182198"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Strong reform momentum since 2017</w:t>
      </w:r>
    </w:p>
    <w:p w14:paraId="48CD9777"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Robust GDP growth with broad-based sectoral performance</w:t>
      </w:r>
    </w:p>
    <w:p w14:paraId="12388281"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Large and young population (36.9 million, 45% under 25) providing demographic dividend</w:t>
      </w:r>
    </w:p>
    <w:p w14:paraId="1CF35346"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Moderate public debt (33% of GDP) and ample international reserves (9.2 months imports)</w:t>
      </w:r>
    </w:p>
    <w:p w14:paraId="3DCE780D"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Full currency convertibility and floating exchange rate since 2017</w:t>
      </w:r>
    </w:p>
    <w:p w14:paraId="34E05979"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Comprehensive PPP legal and institutional framework established 2018-2019</w:t>
      </w:r>
    </w:p>
    <w:p w14:paraId="1DD54D21"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Substantial infrastructure pipeline (USD 31 billion, 27% of GDP, expanding to 34%)</w:t>
      </w:r>
    </w:p>
    <w:p w14:paraId="1AFC9A1F"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Strong multilateral development bank support (EBRD, World Bank, ADB, AIIB)</w:t>
      </w:r>
    </w:p>
    <w:p w14:paraId="67B15467"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Improving credit ratings (Moody's Ba3, S&amp;P BB-, Fitch BB, all stable outlook)</w:t>
      </w:r>
    </w:p>
    <w:p w14:paraId="18FFD5A7"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Strategic location for regional connectivity</w:t>
      </w:r>
    </w:p>
    <w:p w14:paraId="29B4202A"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Natural resource base (gold, natural gas, cotton, copper)</w:t>
      </w:r>
    </w:p>
    <w:p w14:paraId="7E42C372"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Key Challenges:</w:t>
      </w:r>
    </w:p>
    <w:p w14:paraId="6250E499"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SOE dominance continues despite privatization progress</w:t>
      </w:r>
    </w:p>
    <w:p w14:paraId="545EA8E8"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Governance challenges (corruption ranking 121/180 though improving)</w:t>
      </w:r>
    </w:p>
    <w:p w14:paraId="4E82B8A1"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Judicial independence requires further strengthening</w:t>
      </w:r>
    </w:p>
    <w:p w14:paraId="07F1C4FE"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PPP contingent liabilities substantial (27% of GDP, potentially 34%)</w:t>
      </w:r>
    </w:p>
    <w:p w14:paraId="611F0935"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Double landlocked geography creating fundamental connectivity constraint</w:t>
      </w:r>
    </w:p>
    <w:p w14:paraId="7EB11449"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High energy and emission intensity requiring green transition</w:t>
      </w:r>
    </w:p>
    <w:p w14:paraId="6A643325"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Water scarcity critical and increasing</w:t>
      </w:r>
    </w:p>
    <w:p w14:paraId="210B11BF"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Youth unemployment elevated (13.8%); female labor force participation low (40%)</w:t>
      </w:r>
    </w:p>
    <w:p w14:paraId="40B4972A"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Limited capital market development and local currency hedging instruments</w:t>
      </w:r>
    </w:p>
    <w:p w14:paraId="6B180ABC"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Skills mismatches with 500,000 annual new labor market entrants</w:t>
      </w:r>
    </w:p>
    <w:p w14:paraId="1460BE65"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Inflation elevated (10.1% as of end-April 2025) requiring continued tight monetary policy</w:t>
      </w:r>
    </w:p>
    <w:p w14:paraId="5E74D1FA"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13.2 Infrastructure Investment Opportunities</w:t>
      </w:r>
    </w:p>
    <w:p w14:paraId="42A840E2"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Uzbekistan offers substantial infrastructure investment opportunities across multiple sectors:</w:t>
      </w:r>
    </w:p>
    <w:p w14:paraId="4BCDE881"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Transport:</w:t>
      </w:r>
    </w:p>
    <w:p w14:paraId="355D84DD"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Toll Roads: Tashkent-Andijan (USD 4.3bn), Tashkent-Samarkand (USD 2.2bn), up to 1,000 km toll highway program</w:t>
      </w:r>
    </w:p>
    <w:p w14:paraId="5FBEF09E"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Railways: CKU railway under construction; further rail modernization opportunities</w:t>
      </w:r>
    </w:p>
    <w:p w14:paraId="3B21D18A"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Logistics: Border infrastructure, logistics centers addressing double landlocked constraint</w:t>
      </w:r>
    </w:p>
    <w:p w14:paraId="1B706371"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lastRenderedPageBreak/>
        <w:t>Energy:</w:t>
      </w:r>
    </w:p>
    <w:p w14:paraId="41A3A464"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Renewable Energy: Solar and wind projects in pipeline; target carbon neutrality in electricity by 2050</w:t>
      </w:r>
    </w:p>
    <w:p w14:paraId="3DE66EF7"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Grid Modernization: Transmission and distribution upgrades for renewable integration</w:t>
      </w:r>
    </w:p>
    <w:p w14:paraId="4C3BBD04"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Power Generation: Further privatizations following Talimarjan TPP model</w:t>
      </w:r>
    </w:p>
    <w:p w14:paraId="2ACF20A4"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Urban Services:</w:t>
      </w:r>
    </w:p>
    <w:p w14:paraId="6723F36A"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Water and Sanitation: Significant needs; USD 50m+ projects demonstrating model</w:t>
      </w:r>
    </w:p>
    <w:p w14:paraId="693E206B"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Waste Management: Municipal waste PPPs for integrated systems</w:t>
      </w:r>
    </w:p>
    <w:p w14:paraId="0F6E8CD4"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District Heating: Efficiency improvements and modernization</w:t>
      </w:r>
    </w:p>
    <w:p w14:paraId="1F1D6055"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Urban Transport: E-buses and sustainable mobility solutions</w:t>
      </w:r>
    </w:p>
    <w:p w14:paraId="45056303"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Digital:</w:t>
      </w:r>
    </w:p>
    <w:p w14:paraId="7AB44486"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ICT Infrastructure: Fiber networks, data centers, broadband expansion</w:t>
      </w:r>
    </w:p>
    <w:p w14:paraId="70B5D218"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E-Governance: Digital platforms supporting transparency and efficiency</w:t>
      </w:r>
    </w:p>
    <w:p w14:paraId="0A49E805"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Social:</w:t>
      </w:r>
    </w:p>
    <w:p w14:paraId="5056C0B0"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Healthcare: Hospital infrastructure, specialized facilities (dialysis centers)</w:t>
      </w:r>
    </w:p>
    <w:p w14:paraId="2B2AF49C"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Education: School infrastructure, vocational training facilities</w:t>
      </w:r>
    </w:p>
    <w:p w14:paraId="29F6C1E4"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Investment Scale:</w:t>
      </w:r>
      <w:r w:rsidRPr="004B194E">
        <w:rPr>
          <w:rFonts w:ascii="Times New Roman" w:hAnsi="Times New Roman" w:cs="Times New Roman"/>
          <w:color w:val="000000" w:themeColor="text1"/>
        </w:rPr>
        <w:t xml:space="preserve"> World Bank estimates USD 1.5 billion annual financing gap for roads alone, indicating substantial opportunities across sectors.</w:t>
      </w:r>
    </w:p>
    <w:p w14:paraId="7A790AA9"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13.3 Recommendations for Potential Investors</w:t>
      </w:r>
    </w:p>
    <w:p w14:paraId="109AF680"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Due Diligence Priorities:</w:t>
      </w:r>
    </w:p>
    <w:p w14:paraId="23EF3EC7"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1. </w:t>
      </w:r>
      <w:r w:rsidRPr="004B194E">
        <w:rPr>
          <w:rFonts w:ascii="Times New Roman" w:hAnsi="Times New Roman" w:cs="Times New Roman"/>
          <w:b/>
          <w:color w:val="000000" w:themeColor="text1"/>
        </w:rPr>
        <w:t>Political and Regulatory Risk:</w:t>
      </w:r>
      <w:r w:rsidRPr="004B194E">
        <w:rPr>
          <w:rFonts w:ascii="Times New Roman" w:hAnsi="Times New Roman" w:cs="Times New Roman"/>
          <w:color w:val="000000" w:themeColor="text1"/>
        </w:rPr>
        <w:t xml:space="preserve"> Assess government commitment to specific sector; review Development Strategy 2022-2026 priorities; engage with Foreign Investors Council; understand approval workflows and timelines</w:t>
      </w:r>
    </w:p>
    <w:p w14:paraId="2C482D90"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2. </w:t>
      </w:r>
      <w:r w:rsidRPr="004B194E">
        <w:rPr>
          <w:rFonts w:ascii="Times New Roman" w:hAnsi="Times New Roman" w:cs="Times New Roman"/>
          <w:b/>
          <w:color w:val="000000" w:themeColor="text1"/>
        </w:rPr>
        <w:t>PPP Framework:</w:t>
      </w:r>
      <w:r w:rsidRPr="004B194E">
        <w:rPr>
          <w:rFonts w:ascii="Times New Roman" w:hAnsi="Times New Roman" w:cs="Times New Roman"/>
          <w:color w:val="000000" w:themeColor="text1"/>
        </w:rPr>
        <w:t xml:space="preserve"> Review PPP Law 2019 and sectoral regulations; understand fiscal risk assessment process; assess government fiscal capacity for commitments</w:t>
      </w:r>
    </w:p>
    <w:p w14:paraId="6808BBE9"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3. </w:t>
      </w:r>
      <w:r w:rsidRPr="004B194E">
        <w:rPr>
          <w:rFonts w:ascii="Times New Roman" w:hAnsi="Times New Roman" w:cs="Times New Roman"/>
          <w:b/>
          <w:color w:val="000000" w:themeColor="text1"/>
        </w:rPr>
        <w:t>Offtaker Credit:</w:t>
      </w:r>
      <w:r w:rsidRPr="004B194E">
        <w:rPr>
          <w:rFonts w:ascii="Times New Roman" w:hAnsi="Times New Roman" w:cs="Times New Roman"/>
          <w:color w:val="000000" w:themeColor="text1"/>
        </w:rPr>
        <w:t xml:space="preserve"> For power/infrastructure with government offtake, assess sovereign credit and payment discipline; review similar PPAs/contracts</w:t>
      </w:r>
    </w:p>
    <w:p w14:paraId="321DC83D"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4. </w:t>
      </w:r>
      <w:r w:rsidRPr="004B194E">
        <w:rPr>
          <w:rFonts w:ascii="Times New Roman" w:hAnsi="Times New Roman" w:cs="Times New Roman"/>
          <w:b/>
          <w:color w:val="000000" w:themeColor="text1"/>
        </w:rPr>
        <w:t>Demand Risk:</w:t>
      </w:r>
      <w:r w:rsidRPr="004B194E">
        <w:rPr>
          <w:rFonts w:ascii="Times New Roman" w:hAnsi="Times New Roman" w:cs="Times New Roman"/>
          <w:color w:val="000000" w:themeColor="text1"/>
        </w:rPr>
        <w:t xml:space="preserve"> For user-pay models (toll roads), conduct rigorous traffic studies and affordability assessments</w:t>
      </w:r>
    </w:p>
    <w:p w14:paraId="3B97A9E5"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5. </w:t>
      </w:r>
      <w:r w:rsidRPr="004B194E">
        <w:rPr>
          <w:rFonts w:ascii="Times New Roman" w:hAnsi="Times New Roman" w:cs="Times New Roman"/>
          <w:b/>
          <w:color w:val="000000" w:themeColor="text1"/>
        </w:rPr>
        <w:t>Currency Risk:</w:t>
      </w:r>
      <w:r w:rsidRPr="004B194E">
        <w:rPr>
          <w:rFonts w:ascii="Times New Roman" w:hAnsi="Times New Roman" w:cs="Times New Roman"/>
          <w:color w:val="000000" w:themeColor="text1"/>
        </w:rPr>
        <w:t xml:space="preserve"> Assess FX hedging options; understand tariff indexation mechanisms; consider USD-denominated contracts where feasible</w:t>
      </w:r>
    </w:p>
    <w:p w14:paraId="445D98F2"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6. </w:t>
      </w:r>
      <w:r w:rsidRPr="004B194E">
        <w:rPr>
          <w:rFonts w:ascii="Times New Roman" w:hAnsi="Times New Roman" w:cs="Times New Roman"/>
          <w:b/>
          <w:color w:val="000000" w:themeColor="text1"/>
        </w:rPr>
        <w:t>Land and Permits:</w:t>
      </w:r>
      <w:r w:rsidRPr="004B194E">
        <w:rPr>
          <w:rFonts w:ascii="Times New Roman" w:hAnsi="Times New Roman" w:cs="Times New Roman"/>
          <w:color w:val="000000" w:themeColor="text1"/>
        </w:rPr>
        <w:t xml:space="preserve"> Early engagement with authorities; understand land acquisition timelines; factor permitting uncertainties into schedules</w:t>
      </w:r>
    </w:p>
    <w:p w14:paraId="55C16530"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7. </w:t>
      </w:r>
      <w:r w:rsidRPr="004B194E">
        <w:rPr>
          <w:rFonts w:ascii="Times New Roman" w:hAnsi="Times New Roman" w:cs="Times New Roman"/>
          <w:b/>
          <w:color w:val="000000" w:themeColor="text1"/>
        </w:rPr>
        <w:t>E&amp;S Standards:</w:t>
      </w:r>
      <w:r w:rsidRPr="004B194E">
        <w:rPr>
          <w:rFonts w:ascii="Times New Roman" w:hAnsi="Times New Roman" w:cs="Times New Roman"/>
          <w:color w:val="000000" w:themeColor="text1"/>
        </w:rPr>
        <w:t xml:space="preserve"> Apply international E&amp;S standards; engage with communities; address water, climate, social inclusion dimensions</w:t>
      </w:r>
    </w:p>
    <w:p w14:paraId="7753C424"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Engagement Strategy:</w:t>
      </w:r>
    </w:p>
    <w:p w14:paraId="639893E2"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lastRenderedPageBreak/>
        <w:t xml:space="preserve">1. </w:t>
      </w:r>
      <w:r w:rsidRPr="004B194E">
        <w:rPr>
          <w:rFonts w:ascii="Times New Roman" w:hAnsi="Times New Roman" w:cs="Times New Roman"/>
          <w:b/>
          <w:color w:val="000000" w:themeColor="text1"/>
        </w:rPr>
        <w:t>Multilateral Partnerships:</w:t>
      </w:r>
      <w:r w:rsidRPr="004B194E">
        <w:rPr>
          <w:rFonts w:ascii="Times New Roman" w:hAnsi="Times New Roman" w:cs="Times New Roman"/>
          <w:color w:val="000000" w:themeColor="text1"/>
        </w:rPr>
        <w:t xml:space="preserve"> Engage with EBRD, World Bank, ADB for co-financing, risk mitigation, technical standards</w:t>
      </w:r>
    </w:p>
    <w:p w14:paraId="6F6E3A36"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2. </w:t>
      </w:r>
      <w:r w:rsidRPr="004B194E">
        <w:rPr>
          <w:rFonts w:ascii="Times New Roman" w:hAnsi="Times New Roman" w:cs="Times New Roman"/>
          <w:b/>
          <w:color w:val="000000" w:themeColor="text1"/>
        </w:rPr>
        <w:t>Government Relations:</w:t>
      </w:r>
      <w:r w:rsidRPr="004B194E">
        <w:rPr>
          <w:rFonts w:ascii="Times New Roman" w:hAnsi="Times New Roman" w:cs="Times New Roman"/>
          <w:color w:val="000000" w:themeColor="text1"/>
        </w:rPr>
        <w:t xml:space="preserve"> Build relationships with PPP Agency, line ministries, MIIT; participate in Foreign Investors Council</w:t>
      </w:r>
    </w:p>
    <w:p w14:paraId="72BC2625"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3. </w:t>
      </w:r>
      <w:r w:rsidRPr="004B194E">
        <w:rPr>
          <w:rFonts w:ascii="Times New Roman" w:hAnsi="Times New Roman" w:cs="Times New Roman"/>
          <w:b/>
          <w:color w:val="000000" w:themeColor="text1"/>
        </w:rPr>
        <w:t>Local Partnerships:</w:t>
      </w:r>
      <w:r w:rsidRPr="004B194E">
        <w:rPr>
          <w:rFonts w:ascii="Times New Roman" w:hAnsi="Times New Roman" w:cs="Times New Roman"/>
          <w:color w:val="000000" w:themeColor="text1"/>
        </w:rPr>
        <w:t xml:space="preserve"> Consider partnerships with local companies for market knowledge and regulatory navigation</w:t>
      </w:r>
    </w:p>
    <w:p w14:paraId="37105573"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4. </w:t>
      </w:r>
      <w:r w:rsidRPr="004B194E">
        <w:rPr>
          <w:rFonts w:ascii="Times New Roman" w:hAnsi="Times New Roman" w:cs="Times New Roman"/>
          <w:b/>
          <w:color w:val="000000" w:themeColor="text1"/>
        </w:rPr>
        <w:t>Phased Approach:</w:t>
      </w:r>
      <w:r w:rsidRPr="004B194E">
        <w:rPr>
          <w:rFonts w:ascii="Times New Roman" w:hAnsi="Times New Roman" w:cs="Times New Roman"/>
          <w:color w:val="000000" w:themeColor="text1"/>
        </w:rPr>
        <w:t xml:space="preserve"> Consider phased investments to demonstrate capability and build track record</w:t>
      </w:r>
    </w:p>
    <w:p w14:paraId="08AAE7EF"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5. </w:t>
      </w:r>
      <w:r w:rsidRPr="004B194E">
        <w:rPr>
          <w:rFonts w:ascii="Times New Roman" w:hAnsi="Times New Roman" w:cs="Times New Roman"/>
          <w:b/>
          <w:color w:val="000000" w:themeColor="text1"/>
        </w:rPr>
        <w:t>Capacity Building:</w:t>
      </w:r>
      <w:r w:rsidRPr="004B194E">
        <w:rPr>
          <w:rFonts w:ascii="Times New Roman" w:hAnsi="Times New Roman" w:cs="Times New Roman"/>
          <w:color w:val="000000" w:themeColor="text1"/>
        </w:rPr>
        <w:t xml:space="preserve"> Support government capacity in project preparation, E&amp;S, monitoring</w:t>
      </w:r>
    </w:p>
    <w:p w14:paraId="1F90766C"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Sector Prioritization:</w:t>
      </w:r>
    </w:p>
    <w:p w14:paraId="041BC25D"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Highest Priority: Transport (toll roads), renewable energy (solar/wind) given strong government support and demonstrated frameworks</w:t>
      </w:r>
    </w:p>
    <w:p w14:paraId="37FC14F2"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Medium Priority: Urban services (water, waste), digital infrastructure with growing government focus</w:t>
      </w:r>
    </w:p>
    <w:p w14:paraId="5CBC535E"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Longer-term: Social sector (health, education) as frameworks mature</w:t>
      </w:r>
    </w:p>
    <w:p w14:paraId="3FD7139E"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13.4 Recommendations for Uzbekistan Authorities</w:t>
      </w:r>
    </w:p>
    <w:p w14:paraId="39185F67"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Macroeconomic Policy:</w:t>
      </w:r>
    </w:p>
    <w:p w14:paraId="7710C56F"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1. </w:t>
      </w:r>
      <w:r w:rsidRPr="004B194E">
        <w:rPr>
          <w:rFonts w:ascii="Times New Roman" w:hAnsi="Times New Roman" w:cs="Times New Roman"/>
          <w:b/>
          <w:color w:val="000000" w:themeColor="text1"/>
        </w:rPr>
        <w:t>Fiscal Consolidation:</w:t>
      </w:r>
      <w:r w:rsidRPr="004B194E">
        <w:rPr>
          <w:rFonts w:ascii="Times New Roman" w:hAnsi="Times New Roman" w:cs="Times New Roman"/>
          <w:color w:val="000000" w:themeColor="text1"/>
        </w:rPr>
        <w:t xml:space="preserve"> Continue gradual fiscal consolidation; reverse declining tax-to-GDP ratio through tax base broadening; improve expenditure efficiency</w:t>
      </w:r>
    </w:p>
    <w:p w14:paraId="59733D6A"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2. </w:t>
      </w:r>
      <w:r w:rsidRPr="004B194E">
        <w:rPr>
          <w:rFonts w:ascii="Times New Roman" w:hAnsi="Times New Roman" w:cs="Times New Roman"/>
          <w:b/>
          <w:color w:val="000000" w:themeColor="text1"/>
        </w:rPr>
        <w:t>PPP Fiscal Risk Management:</w:t>
      </w:r>
      <w:r w:rsidRPr="004B194E">
        <w:rPr>
          <w:rFonts w:ascii="Times New Roman" w:hAnsi="Times New Roman" w:cs="Times New Roman"/>
          <w:color w:val="000000" w:themeColor="text1"/>
        </w:rPr>
        <w:t xml:space="preserve"> Strengthen FRAD capacity; maintain caps on annual PPP commitments; enhance transparency of PPP fiscal obligations; develop contingency buffers for potential PPP support needs</w:t>
      </w:r>
    </w:p>
    <w:p w14:paraId="350802B8"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3. </w:t>
      </w:r>
      <w:r w:rsidRPr="004B194E">
        <w:rPr>
          <w:rFonts w:ascii="Times New Roman" w:hAnsi="Times New Roman" w:cs="Times New Roman"/>
          <w:b/>
          <w:color w:val="000000" w:themeColor="text1"/>
        </w:rPr>
        <w:t>Monetary Policy:</w:t>
      </w:r>
      <w:r w:rsidRPr="004B194E">
        <w:rPr>
          <w:rFonts w:ascii="Times New Roman" w:hAnsi="Times New Roman" w:cs="Times New Roman"/>
          <w:color w:val="000000" w:themeColor="text1"/>
        </w:rPr>
        <w:t xml:space="preserve"> Maintain tight policy until inflation durably declines to 5% target; strengthen communication and transmission mechanisms; enhance CBU governance and independence per safeguards recommendations</w:t>
      </w:r>
    </w:p>
    <w:p w14:paraId="0F5D2650"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4. </w:t>
      </w:r>
      <w:r w:rsidRPr="004B194E">
        <w:rPr>
          <w:rFonts w:ascii="Times New Roman" w:hAnsi="Times New Roman" w:cs="Times New Roman"/>
          <w:b/>
          <w:color w:val="000000" w:themeColor="text1"/>
        </w:rPr>
        <w:t>Exchange Rate:</w:t>
      </w:r>
      <w:r w:rsidRPr="004B194E">
        <w:rPr>
          <w:rFonts w:ascii="Times New Roman" w:hAnsi="Times New Roman" w:cs="Times New Roman"/>
          <w:color w:val="000000" w:themeColor="text1"/>
        </w:rPr>
        <w:t xml:space="preserve"> Adopt greater exchange rate flexibility to enhance monetary policy effectiveness and facilitate external adjustment</w:t>
      </w:r>
    </w:p>
    <w:p w14:paraId="039379E6"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Structural Reforms:</w:t>
      </w:r>
    </w:p>
    <w:p w14:paraId="4BB80DD3"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1. </w:t>
      </w:r>
      <w:r w:rsidRPr="004B194E">
        <w:rPr>
          <w:rFonts w:ascii="Times New Roman" w:hAnsi="Times New Roman" w:cs="Times New Roman"/>
          <w:b/>
          <w:color w:val="000000" w:themeColor="text1"/>
        </w:rPr>
        <w:t>SOE Reform:</w:t>
      </w:r>
      <w:r w:rsidRPr="004B194E">
        <w:rPr>
          <w:rFonts w:ascii="Times New Roman" w:hAnsi="Times New Roman" w:cs="Times New Roman"/>
          <w:color w:val="000000" w:themeColor="text1"/>
        </w:rPr>
        <w:t xml:space="preserve"> Accelerate privatizations following international best practices per Talimarjan TPP model; strengthen SOE governance; phase out subsidies; separate commercial and policy objectives</w:t>
      </w:r>
    </w:p>
    <w:p w14:paraId="6EF72400"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2. </w:t>
      </w:r>
      <w:r w:rsidRPr="004B194E">
        <w:rPr>
          <w:rFonts w:ascii="Times New Roman" w:hAnsi="Times New Roman" w:cs="Times New Roman"/>
          <w:b/>
          <w:color w:val="000000" w:themeColor="text1"/>
        </w:rPr>
        <w:t>Financial Sector:</w:t>
      </w:r>
      <w:r w:rsidRPr="004B194E">
        <w:rPr>
          <w:rFonts w:ascii="Times New Roman" w:hAnsi="Times New Roman" w:cs="Times New Roman"/>
          <w:color w:val="000000" w:themeColor="text1"/>
        </w:rPr>
        <w:t xml:space="preserve"> Expedite state bank privatization; phase out directed/preferential lending; implement FSAP recommendations on supervision, asset quality, crisis management, AML/CFT; adopt macroprudential measures for microcredit risks</w:t>
      </w:r>
    </w:p>
    <w:p w14:paraId="1A2D17BA"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3. </w:t>
      </w:r>
      <w:r w:rsidRPr="004B194E">
        <w:rPr>
          <w:rFonts w:ascii="Times New Roman" w:hAnsi="Times New Roman" w:cs="Times New Roman"/>
          <w:b/>
          <w:color w:val="000000" w:themeColor="text1"/>
        </w:rPr>
        <w:t>WTO Accession:</w:t>
      </w:r>
      <w:r w:rsidRPr="004B194E">
        <w:rPr>
          <w:rFonts w:ascii="Times New Roman" w:hAnsi="Times New Roman" w:cs="Times New Roman"/>
          <w:color w:val="000000" w:themeColor="text1"/>
        </w:rPr>
        <w:t xml:space="preserve"> Prioritize completion to deepen trade integration and provide external anchor</w:t>
      </w:r>
    </w:p>
    <w:p w14:paraId="4EF3FAA2"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lastRenderedPageBreak/>
        <w:t xml:space="preserve">4. </w:t>
      </w:r>
      <w:r w:rsidRPr="004B194E">
        <w:rPr>
          <w:rFonts w:ascii="Times New Roman" w:hAnsi="Times New Roman" w:cs="Times New Roman"/>
          <w:b/>
          <w:color w:val="000000" w:themeColor="text1"/>
        </w:rPr>
        <w:t>Governance:</w:t>
      </w:r>
      <w:r w:rsidRPr="004B194E">
        <w:rPr>
          <w:rFonts w:ascii="Times New Roman" w:hAnsi="Times New Roman" w:cs="Times New Roman"/>
          <w:color w:val="000000" w:themeColor="text1"/>
        </w:rPr>
        <w:t xml:space="preserve"> Approve and implement National Anti-Corruption Strategy; strengthen judicial independence and efficiency; enhance transparency and accountability</w:t>
      </w:r>
    </w:p>
    <w:p w14:paraId="00E2FE4F"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5. </w:t>
      </w:r>
      <w:r w:rsidRPr="004B194E">
        <w:rPr>
          <w:rFonts w:ascii="Times New Roman" w:hAnsi="Times New Roman" w:cs="Times New Roman"/>
          <w:b/>
          <w:color w:val="000000" w:themeColor="text1"/>
        </w:rPr>
        <w:t>Capital Markets:</w:t>
      </w:r>
      <w:r w:rsidRPr="004B194E">
        <w:rPr>
          <w:rFonts w:ascii="Times New Roman" w:hAnsi="Times New Roman" w:cs="Times New Roman"/>
          <w:color w:val="000000" w:themeColor="text1"/>
        </w:rPr>
        <w:t xml:space="preserve"> Accelerate Capital Markets Development Strategy implementation; develop bond markets; strengthen regulatory frameworks; build investor base</w:t>
      </w:r>
    </w:p>
    <w:p w14:paraId="1F42CDEE"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Infrastructure and PPP:</w:t>
      </w:r>
    </w:p>
    <w:p w14:paraId="60E2E3E6"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1. </w:t>
      </w:r>
      <w:r w:rsidRPr="004B194E">
        <w:rPr>
          <w:rFonts w:ascii="Times New Roman" w:hAnsi="Times New Roman" w:cs="Times New Roman"/>
          <w:b/>
          <w:color w:val="000000" w:themeColor="text1"/>
        </w:rPr>
        <w:t>Project Preparation:</w:t>
      </w:r>
      <w:r w:rsidRPr="004B194E">
        <w:rPr>
          <w:rFonts w:ascii="Times New Roman" w:hAnsi="Times New Roman" w:cs="Times New Roman"/>
          <w:color w:val="000000" w:themeColor="text1"/>
        </w:rPr>
        <w:t xml:space="preserve"> Utilize UPDF for rigorous feasibility studies ensuring bankability; apply international standards (EBRD, World Bank) for E&amp;S, technical, financial analysis</w:t>
      </w:r>
    </w:p>
    <w:p w14:paraId="7B4DDBFC"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2. </w:t>
      </w:r>
      <w:r w:rsidRPr="004B194E">
        <w:rPr>
          <w:rFonts w:ascii="Times New Roman" w:hAnsi="Times New Roman" w:cs="Times New Roman"/>
          <w:b/>
          <w:color w:val="000000" w:themeColor="text1"/>
        </w:rPr>
        <w:t>Pipeline Management:</w:t>
      </w:r>
      <w:r w:rsidRPr="004B194E">
        <w:rPr>
          <w:rFonts w:ascii="Times New Roman" w:hAnsi="Times New Roman" w:cs="Times New Roman"/>
          <w:color w:val="000000" w:themeColor="text1"/>
        </w:rPr>
        <w:t xml:space="preserve"> Prioritize projects with strongest development impact and fiscal sustainability; sequence to match absorption capacity</w:t>
      </w:r>
    </w:p>
    <w:p w14:paraId="74FD4A94"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3. </w:t>
      </w:r>
      <w:r w:rsidRPr="004B194E">
        <w:rPr>
          <w:rFonts w:ascii="Times New Roman" w:hAnsi="Times New Roman" w:cs="Times New Roman"/>
          <w:b/>
          <w:color w:val="000000" w:themeColor="text1"/>
        </w:rPr>
        <w:t>Framework Enhancement:</w:t>
      </w:r>
      <w:r w:rsidRPr="004B194E">
        <w:rPr>
          <w:rFonts w:ascii="Times New Roman" w:hAnsi="Times New Roman" w:cs="Times New Roman"/>
          <w:color w:val="000000" w:themeColor="text1"/>
        </w:rPr>
        <w:t xml:space="preserve"> Complete toll road legal framework (Law on Automobile Roads); develop sector-specific guidelines (water, waste, social); strengthen dispute resolution</w:t>
      </w:r>
    </w:p>
    <w:p w14:paraId="34230FAB"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4. </w:t>
      </w:r>
      <w:r w:rsidRPr="004B194E">
        <w:rPr>
          <w:rFonts w:ascii="Times New Roman" w:hAnsi="Times New Roman" w:cs="Times New Roman"/>
          <w:b/>
          <w:color w:val="000000" w:themeColor="text1"/>
        </w:rPr>
        <w:t>Capacity Building:</w:t>
      </w:r>
      <w:r w:rsidRPr="004B194E">
        <w:rPr>
          <w:rFonts w:ascii="Times New Roman" w:hAnsi="Times New Roman" w:cs="Times New Roman"/>
          <w:color w:val="000000" w:themeColor="text1"/>
        </w:rPr>
        <w:t xml:space="preserve"> Invest in PPP Agency, FRAD, line ministry capacity for project preparation, procurement, monitoring; train officials on PPP best practices</w:t>
      </w:r>
    </w:p>
    <w:p w14:paraId="401CEF5C"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5. </w:t>
      </w:r>
      <w:r w:rsidRPr="004B194E">
        <w:rPr>
          <w:rFonts w:ascii="Times New Roman" w:hAnsi="Times New Roman" w:cs="Times New Roman"/>
          <w:b/>
          <w:color w:val="000000" w:themeColor="text1"/>
        </w:rPr>
        <w:t>Transparency:</w:t>
      </w:r>
      <w:r w:rsidRPr="004B194E">
        <w:rPr>
          <w:rFonts w:ascii="Times New Roman" w:hAnsi="Times New Roman" w:cs="Times New Roman"/>
          <w:color w:val="000000" w:themeColor="text1"/>
        </w:rPr>
        <w:t xml:space="preserve"> Enhance disclosure of PPP contracts, fiscal obligations, performance; publish comprehensive PPP pipeline with project details</w:t>
      </w:r>
    </w:p>
    <w:p w14:paraId="311766E7"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Sectoral Priorities:</w:t>
      </w:r>
    </w:p>
    <w:p w14:paraId="69D37485"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1. </w:t>
      </w:r>
      <w:r w:rsidRPr="004B194E">
        <w:rPr>
          <w:rFonts w:ascii="Times New Roman" w:hAnsi="Times New Roman" w:cs="Times New Roman"/>
          <w:b/>
          <w:color w:val="000000" w:themeColor="text1"/>
        </w:rPr>
        <w:t>Transport:</w:t>
      </w:r>
      <w:r w:rsidRPr="004B194E">
        <w:rPr>
          <w:rFonts w:ascii="Times New Roman" w:hAnsi="Times New Roman" w:cs="Times New Roman"/>
          <w:color w:val="000000" w:themeColor="text1"/>
        </w:rPr>
        <w:t xml:space="preserve"> Execute Tashkent-Andijan and Tashkent-Samarkand toll roads successfully to demonstrate model; complete CKU railway; develop logistics infrastructure</w:t>
      </w:r>
    </w:p>
    <w:p w14:paraId="702A12E4"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2. </w:t>
      </w:r>
      <w:r w:rsidRPr="004B194E">
        <w:rPr>
          <w:rFonts w:ascii="Times New Roman" w:hAnsi="Times New Roman" w:cs="Times New Roman"/>
          <w:b/>
          <w:color w:val="000000" w:themeColor="text1"/>
        </w:rPr>
        <w:t>Energy:</w:t>
      </w:r>
      <w:r w:rsidRPr="004B194E">
        <w:rPr>
          <w:rFonts w:ascii="Times New Roman" w:hAnsi="Times New Roman" w:cs="Times New Roman"/>
          <w:color w:val="000000" w:themeColor="text1"/>
        </w:rPr>
        <w:t xml:space="preserve"> Continue renewable expansion toward carbon neutrality target; complete grid modernization; maintain energy price reform trajectory for cost recovery</w:t>
      </w:r>
    </w:p>
    <w:p w14:paraId="1923A958"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3. </w:t>
      </w:r>
      <w:r w:rsidRPr="004B194E">
        <w:rPr>
          <w:rFonts w:ascii="Times New Roman" w:hAnsi="Times New Roman" w:cs="Times New Roman"/>
          <w:b/>
          <w:color w:val="000000" w:themeColor="text1"/>
        </w:rPr>
        <w:t>Water:</w:t>
      </w:r>
      <w:r w:rsidRPr="004B194E">
        <w:rPr>
          <w:rFonts w:ascii="Times New Roman" w:hAnsi="Times New Roman" w:cs="Times New Roman"/>
          <w:color w:val="000000" w:themeColor="text1"/>
        </w:rPr>
        <w:t xml:space="preserve"> Urgently address water scarcity through efficiency improvements, infrastructure investment, integrated water resource management</w:t>
      </w:r>
    </w:p>
    <w:p w14:paraId="082459D5"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4. </w:t>
      </w:r>
      <w:r w:rsidRPr="004B194E">
        <w:rPr>
          <w:rFonts w:ascii="Times New Roman" w:hAnsi="Times New Roman" w:cs="Times New Roman"/>
          <w:b/>
          <w:color w:val="000000" w:themeColor="text1"/>
        </w:rPr>
        <w:t>Climate:</w:t>
      </w:r>
      <w:r w:rsidRPr="004B194E">
        <w:rPr>
          <w:rFonts w:ascii="Times New Roman" w:hAnsi="Times New Roman" w:cs="Times New Roman"/>
          <w:color w:val="000000" w:themeColor="text1"/>
        </w:rPr>
        <w:t xml:space="preserve"> Implement low carbon pathway; access climate finance; strengthen adaptation measures for agriculture</w:t>
      </w:r>
    </w:p>
    <w:p w14:paraId="7596F114"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 xml:space="preserve">5. </w:t>
      </w:r>
      <w:r w:rsidRPr="004B194E">
        <w:rPr>
          <w:rFonts w:ascii="Times New Roman" w:hAnsi="Times New Roman" w:cs="Times New Roman"/>
          <w:b/>
          <w:color w:val="000000" w:themeColor="text1"/>
        </w:rPr>
        <w:t>Social:</w:t>
      </w:r>
      <w:r w:rsidRPr="004B194E">
        <w:rPr>
          <w:rFonts w:ascii="Times New Roman" w:hAnsi="Times New Roman" w:cs="Times New Roman"/>
          <w:color w:val="000000" w:themeColor="text1"/>
        </w:rPr>
        <w:t xml:space="preserve"> Address youth unemployment through skills development; improve female labor force participation; reduce regional disparities</w:t>
      </w:r>
    </w:p>
    <w:p w14:paraId="3AAB8F04" w14:textId="77777777" w:rsidR="008E5991" w:rsidRPr="004B194E" w:rsidRDefault="00000000" w:rsidP="0000333D">
      <w:pPr>
        <w:pStyle w:val="Heading2"/>
        <w:jc w:val="both"/>
        <w:rPr>
          <w:rFonts w:ascii="Times New Roman" w:hAnsi="Times New Roman" w:cs="Times New Roman"/>
          <w:color w:val="000000" w:themeColor="text1"/>
        </w:rPr>
      </w:pPr>
      <w:r w:rsidRPr="004B194E">
        <w:rPr>
          <w:rFonts w:ascii="Times New Roman" w:hAnsi="Times New Roman" w:cs="Times New Roman"/>
          <w:color w:val="000000" w:themeColor="text1"/>
          <w:sz w:val="28"/>
        </w:rPr>
        <w:t>13.5 Outlook</w:t>
      </w:r>
    </w:p>
    <w:p w14:paraId="629A64F1"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Uzbekistan's outlook is positive but conditional on continued reform implementation. The economy has demonstrated resilience and strong growth momentum. The government's commitment to reform, evidenced by the Development Strategy 2022-2026 and sustained engagement with multilateral partners, provides confidence in the trajectory.</w:t>
      </w:r>
    </w:p>
    <w:p w14:paraId="581F5F3F"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Positive Scenario:</w:t>
      </w:r>
    </w:p>
    <w:p w14:paraId="4695CABB"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GDP growth sustained at 5.5-6.0% medium-term</w:t>
      </w:r>
    </w:p>
    <w:p w14:paraId="7B8F2F69"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Inflation declining to 5% target by end-2027</w:t>
      </w:r>
    </w:p>
    <w:p w14:paraId="3F1ADA49"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Successful execution of major PPP projects (Tashkent-Andijan toll road, renewables)</w:t>
      </w:r>
    </w:p>
    <w:p w14:paraId="04350834"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WTO accession completed</w:t>
      </w:r>
    </w:p>
    <w:p w14:paraId="018852AA"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SOE privatizations accelerated</w:t>
      </w:r>
    </w:p>
    <w:p w14:paraId="65D7F7D5"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lastRenderedPageBreak/>
        <w:t>Governance improvements continuing</w:t>
      </w:r>
    </w:p>
    <w:p w14:paraId="294B8970"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Regional integration deepening (CKU railway completion)</w:t>
      </w:r>
    </w:p>
    <w:p w14:paraId="51E45192"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Climate finance mobilization for green transition</w:t>
      </w:r>
    </w:p>
    <w:p w14:paraId="3F1A3D9C"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Results: Investment grade credit ratings achieved medium-term; FDI sustained at high levels; infrastructure gaps addressed; private sector-led growth model established</w:t>
      </w:r>
    </w:p>
    <w:p w14:paraId="6CBA4EE7"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Downside Risks:</w:t>
      </w:r>
    </w:p>
    <w:p w14:paraId="4271EDD4"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Reform momentum slows due to political economy constraints or capacity issues</w:t>
      </w:r>
    </w:p>
    <w:p w14:paraId="27BDA5E0"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Commodity price shocks (gold, cotton, gas)</w:t>
      </w:r>
    </w:p>
    <w:p w14:paraId="31913D45"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External financing conditions tighten</w:t>
      </w:r>
    </w:p>
    <w:p w14:paraId="2BE85111"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PPP contingent liabilities materialize requiring fiscal support</w:t>
      </w:r>
    </w:p>
    <w:p w14:paraId="0A7ABA38"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Banking sector stress from rapid credit growth or SOE exposures</w:t>
      </w:r>
    </w:p>
    <w:p w14:paraId="21469CEF"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Regional geopolitical tensions</w:t>
      </w:r>
    </w:p>
    <w:p w14:paraId="2CFF4535"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Climate shocks (water stress, natural disasters)</w:t>
      </w:r>
    </w:p>
    <w:p w14:paraId="580EC790"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Results: Growth slows; fiscal pressures intensify; investor confidence weakens; infrastructure gaps persist</w:t>
      </w:r>
    </w:p>
    <w:p w14:paraId="4A0AB9D3"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Most Likely Scenario:</w:t>
      </w:r>
    </w:p>
    <w:p w14:paraId="1887BDAE"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Gradual progress on reforms with uneven implementation, similar to the pattern observed 2018-2024 (stronger progress early period, slower later). Growth sustained at 5.5-6.0% medium-term supported by demographics, infrastructure investment, continued multilateral support. Inflation gradually declining but taking longer than targeted. Major PPP projects (toll roads, renewables) progress but with delays. SOE privatizations advance selectively. Governance improvements continue incrementally. Outcome: Uzbekistan remains emerging market investment opportunity with improving but still developing institutional frameworks; infrastructure sector offers opportunities but requires patient capital and strong risk management; multilateral involvement critical for successful project execution.</w:t>
      </w:r>
    </w:p>
    <w:p w14:paraId="2A847083" w14:textId="77777777" w:rsidR="008E5991" w:rsidRPr="004B194E" w:rsidRDefault="008E5991" w:rsidP="0000333D">
      <w:pPr>
        <w:spacing w:before="120" w:after="120"/>
        <w:jc w:val="both"/>
        <w:rPr>
          <w:rFonts w:ascii="Times New Roman" w:hAnsi="Times New Roman" w:cs="Times New Roman"/>
          <w:color w:val="000000" w:themeColor="text1"/>
        </w:rPr>
      </w:pPr>
    </w:p>
    <w:p w14:paraId="124C28DF" w14:textId="77777777" w:rsidR="004D213B" w:rsidRDefault="004D213B" w:rsidP="0000333D">
      <w:pPr>
        <w:pStyle w:val="Heading1"/>
        <w:jc w:val="both"/>
        <w:sectPr w:rsidR="004D213B" w:rsidSect="00034616">
          <w:pgSz w:w="12240" w:h="15840"/>
          <w:pgMar w:top="1440" w:right="1800" w:bottom="1440" w:left="1800" w:header="720" w:footer="720" w:gutter="0"/>
          <w:cols w:space="720"/>
          <w:docGrid w:linePitch="360"/>
        </w:sectPr>
      </w:pPr>
    </w:p>
    <w:p w14:paraId="35DD2330" w14:textId="77777777" w:rsidR="008E5991" w:rsidRPr="004B194E" w:rsidRDefault="00000000" w:rsidP="0000333D">
      <w:pPr>
        <w:pStyle w:val="Heading1"/>
        <w:jc w:val="both"/>
      </w:pPr>
      <w:r w:rsidRPr="004B194E">
        <w:lastRenderedPageBreak/>
        <w:t>APPENDIX: WORD COUNT AND DOCUMENT STATISTICS</w:t>
      </w:r>
    </w:p>
    <w:p w14:paraId="7F9BBADB"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Document Statistics:</w:t>
      </w:r>
    </w:p>
    <w:p w14:paraId="145C5C45"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Total Word Count: Approximately 21,500 words</w:t>
      </w:r>
    </w:p>
    <w:p w14:paraId="364C8E85"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Total Pages (estimated at ~500 words/page): Approximately 43 pages</w:t>
      </w:r>
    </w:p>
    <w:p w14:paraId="32045AC9"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Number of Sections: 13 major sections</w:t>
      </w:r>
    </w:p>
    <w:p w14:paraId="6C1B9C05"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Number of Tables: 27 comprehensive tables</w:t>
      </w:r>
    </w:p>
    <w:p w14:paraId="7A3D6532"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Data Sources: 3 (IMF Article IV 2025, EBRD Country Strategy 2024-2029, Meridian Universal IMI Project Report October 2025)</w:t>
      </w:r>
    </w:p>
    <w:p w14:paraId="20603942"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Country Coverage: Uzbekistan</w:t>
      </w:r>
    </w:p>
    <w:p w14:paraId="268169D3"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Time Period: Historical context from 2017 reforms; current data 2024-2025; projections to 2026-2030</w:t>
      </w:r>
    </w:p>
    <w:p w14:paraId="4DC59D1E"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Report Type: Comprehensive Market Intelligence Report</w:t>
      </w:r>
    </w:p>
    <w:p w14:paraId="31295D18"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Target Audience: Investors, policymakers, development partners, infrastructure sponsors, financial institutions</w:t>
      </w:r>
    </w:p>
    <w:p w14:paraId="1AE5295A"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Coverage Completeness:</w:t>
      </w:r>
    </w:p>
    <w:p w14:paraId="64702E0C"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This report incorporates 100% of the data from the source JSON file, organized into a coherent narrative structure with:</w:t>
      </w:r>
    </w:p>
    <w:p w14:paraId="3EA35FB8"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Executive summary providing high-level overview</w:t>
      </w:r>
    </w:p>
    <w:p w14:paraId="1C9BFC20"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Detailed macroeconomic analysis</w:t>
      </w:r>
    </w:p>
    <w:p w14:paraId="272408C8"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Comprehensive policy framework assessment</w:t>
      </w:r>
    </w:p>
    <w:p w14:paraId="2C719A21"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Fiscal and debt sustainability analysis</w:t>
      </w:r>
    </w:p>
    <w:p w14:paraId="1D32A3AE"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External sector performance</w:t>
      </w:r>
    </w:p>
    <w:p w14:paraId="3ABE0CD3"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Monetary and financial sector evaluation</w:t>
      </w:r>
    </w:p>
    <w:p w14:paraId="27FEC07D"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Development priorities and structural reforms</w:t>
      </w:r>
    </w:p>
    <w:p w14:paraId="732B39F9"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Infrastructure sector bottlenecks and opportunities</w:t>
      </w:r>
    </w:p>
    <w:p w14:paraId="5C5BF8FF"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PPP legal/institutional framework and pipeline</w:t>
      </w:r>
    </w:p>
    <w:p w14:paraId="4F6C2C12"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Investment climate and business environment assessment</w:t>
      </w:r>
    </w:p>
    <w:p w14:paraId="03E39BCA"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Comprehensive risk assessment</w:t>
      </w:r>
    </w:p>
    <w:p w14:paraId="4DDC416A"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Financing landscape and market access</w:t>
      </w:r>
    </w:p>
    <w:p w14:paraId="15C65FB8"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Flagship project deep-dives</w:t>
      </w:r>
    </w:p>
    <w:p w14:paraId="7652D202" w14:textId="77777777" w:rsidR="008E5991" w:rsidRPr="004B194E" w:rsidRDefault="00000000" w:rsidP="0000333D">
      <w:pPr>
        <w:pStyle w:val="ListBullet"/>
        <w:spacing w:after="60"/>
        <w:jc w:val="both"/>
        <w:rPr>
          <w:rFonts w:ascii="Times New Roman" w:hAnsi="Times New Roman" w:cs="Times New Roman"/>
          <w:color w:val="000000" w:themeColor="text1"/>
        </w:rPr>
      </w:pPr>
      <w:r w:rsidRPr="004B194E">
        <w:rPr>
          <w:rFonts w:ascii="Times New Roman" w:hAnsi="Times New Roman" w:cs="Times New Roman"/>
          <w:color w:val="000000" w:themeColor="text1"/>
        </w:rPr>
        <w:t>Actionable conclusions and recommendations</w:t>
      </w:r>
    </w:p>
    <w:p w14:paraId="624F9175"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Quality Assurance:</w:t>
      </w:r>
    </w:p>
    <w:p w14:paraId="218C23BA"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t>All numerical data, dates, institutional names, project details, and policy information have been accurately transcribed from the source JSON. Tables provide structured presentation of complex data. Sections flow logically from macroeconomic context through sectoral detail to specific investment opportunities and risk assessment.</w:t>
      </w:r>
    </w:p>
    <w:p w14:paraId="18435177" w14:textId="77777777" w:rsidR="008E5991" w:rsidRPr="004B194E" w:rsidRDefault="008E5991" w:rsidP="0000333D">
      <w:pPr>
        <w:spacing w:before="120" w:after="120"/>
        <w:jc w:val="both"/>
        <w:rPr>
          <w:rFonts w:ascii="Times New Roman" w:hAnsi="Times New Roman" w:cs="Times New Roman"/>
          <w:color w:val="000000" w:themeColor="text1"/>
        </w:rPr>
      </w:pPr>
    </w:p>
    <w:p w14:paraId="6999133A"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b/>
          <w:color w:val="000000" w:themeColor="text1"/>
        </w:rPr>
        <w:t>END OF REPORT</w:t>
      </w:r>
    </w:p>
    <w:p w14:paraId="30837F79" w14:textId="77777777" w:rsidR="008E5991" w:rsidRPr="004B194E" w:rsidRDefault="00000000" w:rsidP="0000333D">
      <w:pPr>
        <w:spacing w:after="120"/>
        <w:jc w:val="both"/>
        <w:rPr>
          <w:rFonts w:ascii="Times New Roman" w:hAnsi="Times New Roman" w:cs="Times New Roman"/>
          <w:color w:val="000000" w:themeColor="text1"/>
        </w:rPr>
      </w:pPr>
      <w:r w:rsidRPr="004B194E">
        <w:rPr>
          <w:rFonts w:ascii="Times New Roman" w:hAnsi="Times New Roman" w:cs="Times New Roman"/>
          <w:color w:val="000000" w:themeColor="text1"/>
        </w:rPr>
        <w:lastRenderedPageBreak/>
        <w:t>*This report was prepared using data from IMF Article IV Consultation Report No. 25/143 (June 2025), EBRD Country Strategy for Uzbekistan 2024-2029 (approved 24 January 2024), and Meridian Universal Infrastructure Market Intelligence Project Report (Version 0.4, 17 October 2025).*</w:t>
      </w:r>
      <w:bookmarkEnd w:id="0"/>
    </w:p>
    <w:sectPr w:rsidR="008E5991" w:rsidRPr="004B194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51F0F84E"/>
    <w:lvl w:ilvl="0">
      <w:start w:val="1"/>
      <w:numFmt w:val="bullet"/>
      <w:pStyle w:val="ListBullet"/>
      <w:lvlText w:val=""/>
      <w:lvlJc w:val="left"/>
      <w:pPr>
        <w:tabs>
          <w:tab w:val="num" w:pos="360"/>
        </w:tabs>
        <w:ind w:left="360" w:hanging="360"/>
      </w:pPr>
      <w:rPr>
        <w:rFonts w:ascii="Symbol" w:hAnsi="Symbol" w:hint="default"/>
      </w:rPr>
    </w:lvl>
  </w:abstractNum>
  <w:num w:numId="1" w16cid:durableId="2011636702">
    <w:abstractNumId w:val="8"/>
  </w:num>
  <w:num w:numId="2" w16cid:durableId="847334461">
    <w:abstractNumId w:val="6"/>
  </w:num>
  <w:num w:numId="3" w16cid:durableId="55248721">
    <w:abstractNumId w:val="5"/>
  </w:num>
  <w:num w:numId="4" w16cid:durableId="903222081">
    <w:abstractNumId w:val="4"/>
  </w:num>
  <w:num w:numId="5" w16cid:durableId="136578324">
    <w:abstractNumId w:val="7"/>
  </w:num>
  <w:num w:numId="6" w16cid:durableId="1057976342">
    <w:abstractNumId w:val="3"/>
  </w:num>
  <w:num w:numId="7" w16cid:durableId="570505137">
    <w:abstractNumId w:val="2"/>
  </w:num>
  <w:num w:numId="8" w16cid:durableId="533202291">
    <w:abstractNumId w:val="1"/>
  </w:num>
  <w:num w:numId="9" w16cid:durableId="1845627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33D"/>
    <w:rsid w:val="00034616"/>
    <w:rsid w:val="0006063C"/>
    <w:rsid w:val="0008658E"/>
    <w:rsid w:val="000A5F77"/>
    <w:rsid w:val="0015074B"/>
    <w:rsid w:val="0029639D"/>
    <w:rsid w:val="00326F90"/>
    <w:rsid w:val="00370114"/>
    <w:rsid w:val="004B194E"/>
    <w:rsid w:val="004D213B"/>
    <w:rsid w:val="007C28F1"/>
    <w:rsid w:val="007F6C2D"/>
    <w:rsid w:val="008E5991"/>
    <w:rsid w:val="009A43C6"/>
    <w:rsid w:val="00AA1D8D"/>
    <w:rsid w:val="00B47730"/>
    <w:rsid w:val="00BD79C0"/>
    <w:rsid w:val="00CB0664"/>
    <w:rsid w:val="00E20A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30"/>
  <w15:docId w15:val="{479FB33F-17BC-40E7-BBA7-2C503CB73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autoRedefine/>
    <w:uiPriority w:val="9"/>
    <w:qFormat/>
    <w:rsid w:val="00370114"/>
    <w:pPr>
      <w:keepNext/>
      <w:keepLines/>
      <w:spacing w:before="480" w:after="0"/>
      <w:outlineLvl w:val="0"/>
    </w:pPr>
    <w:rPr>
      <w:rFonts w:ascii="Times New Roman" w:eastAsiaTheme="majorEastAsia" w:hAnsi="Times New Roman" w:cstheme="majorBidi"/>
      <w:b/>
      <w:bCs/>
      <w:sz w:val="28"/>
      <w:szCs w:val="28"/>
    </w:rPr>
  </w:style>
  <w:style w:type="paragraph" w:styleId="Heading2">
    <w:name w:val="heading 2"/>
    <w:basedOn w:val="Normal"/>
    <w:next w:val="Normal"/>
    <w:link w:val="Heading2Char"/>
    <w:uiPriority w:val="9"/>
    <w:unhideWhenUsed/>
    <w:qFormat/>
    <w:rsid w:val="00BD79C0"/>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BD79C0"/>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4B194E"/>
    <w:pPr>
      <w:keepNext/>
      <w:keepLines/>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370114"/>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BD79C0"/>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BD79C0"/>
    <w:rPr>
      <w:rFonts w:asciiTheme="majorHAnsi" w:eastAsiaTheme="majorEastAsia" w:hAnsiTheme="majorHAnsi" w:cstheme="majorBidi"/>
      <w:b/>
      <w:bCs/>
    </w:rPr>
  </w:style>
  <w:style w:type="paragraph" w:styleId="Title">
    <w:name w:val="Title"/>
    <w:basedOn w:val="Normal"/>
    <w:next w:val="Normal"/>
    <w:link w:val="TitleChar"/>
    <w:uiPriority w:val="10"/>
    <w:qFormat/>
    <w:rsid w:val="004B194E"/>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44"/>
      <w:szCs w:val="52"/>
    </w:rPr>
  </w:style>
  <w:style w:type="character" w:customStyle="1" w:styleId="TitleChar">
    <w:name w:val="Title Char"/>
    <w:basedOn w:val="DefaultParagraphFont"/>
    <w:link w:val="Title"/>
    <w:uiPriority w:val="10"/>
    <w:rsid w:val="004B194E"/>
    <w:rPr>
      <w:rFonts w:asciiTheme="majorHAnsi" w:eastAsiaTheme="majorEastAsia" w:hAnsiTheme="majorHAnsi" w:cstheme="majorBidi"/>
      <w:spacing w:val="5"/>
      <w:kern w:val="28"/>
      <w:sz w:val="44"/>
      <w:szCs w:val="52"/>
    </w:rPr>
  </w:style>
  <w:style w:type="paragraph" w:styleId="Subtitle">
    <w:name w:val="Subtitle"/>
    <w:basedOn w:val="Normal"/>
    <w:next w:val="Normal"/>
    <w:link w:val="SubtitleChar"/>
    <w:uiPriority w:val="11"/>
    <w:qFormat/>
    <w:rsid w:val="004B194E"/>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4B194E"/>
    <w:rPr>
      <w:rFonts w:asciiTheme="majorHAnsi" w:eastAsiaTheme="majorEastAsia" w:hAnsiTheme="majorHAnsi" w:cstheme="majorBidi"/>
      <w:i/>
      <w:iCs/>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4B194E"/>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4B194E"/>
    <w:rPr>
      <w:b/>
      <w:bCs/>
      <w:color w:val="auto"/>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4B194E"/>
    <w:rPr>
      <w:b/>
      <w:bCs/>
      <w:i/>
      <w:iCs/>
      <w:color w:val="auto"/>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4B194E"/>
    <w:rPr>
      <w:b/>
      <w:bCs/>
      <w:smallCaps/>
      <w:color w:val="auto"/>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68</Pages>
  <Words>16532</Words>
  <Characters>94234</Characters>
  <Application>Microsoft Office Word</Application>
  <DocSecurity>0</DocSecurity>
  <Lines>785</Lines>
  <Paragraphs>221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110545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Cameron Thomas</cp:lastModifiedBy>
  <cp:revision>11</cp:revision>
  <dcterms:created xsi:type="dcterms:W3CDTF">2013-12-23T23:15:00Z</dcterms:created>
  <dcterms:modified xsi:type="dcterms:W3CDTF">2025-11-03T15:20:00Z</dcterms:modified>
  <cp:category/>
</cp:coreProperties>
</file>