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S1. </w:t>
      </w:r>
      <w:r w:rsidDel="00000000" w:rsidR="00000000" w:rsidRPr="00000000">
        <w:rPr>
          <w:sz w:val="20"/>
          <w:szCs w:val="20"/>
          <w:rtl w:val="0"/>
        </w:rPr>
        <w:t xml:space="preserve">General overview of the scSeq datasets.</w:t>
      </w:r>
    </w:p>
    <w:tbl>
      <w:tblPr>
        <w:tblStyle w:val="Table1"/>
        <w:tblW w:w="967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515"/>
        <w:gridCol w:w="1185"/>
        <w:gridCol w:w="1215"/>
        <w:gridCol w:w="1485"/>
        <w:gridCol w:w="1500"/>
        <w:gridCol w:w="1470"/>
        <w:tblGridChange w:id="0">
          <w:tblGrid>
            <w:gridCol w:w="1305"/>
            <w:gridCol w:w="1515"/>
            <w:gridCol w:w="1185"/>
            <w:gridCol w:w="1215"/>
            <w:gridCol w:w="1485"/>
            <w:gridCol w:w="150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Nr. of cells after 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Mean/median nr. of UMI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Mean/median nr. of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GEO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Leaf developmental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Heidelberg (DE)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2’656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12’929/11’594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3’674/3’894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GSM9220335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Leaf developmental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Heidelberg (DE)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3’427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10’256/8’515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3’189/3’186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GSM9220336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Leaf developmental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Heidelberg (DE)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6’904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14’224/12’112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4’049/4’171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GSM9220337 and GSM9220339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Leaf developmental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Heidelberg (DE)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7’437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15’201/13’354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4’112/4’250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GSM9220338 and GSM9220340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WT 2023-05-16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vSAM &amp; leaf primordia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Heidelberg (DE)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4’995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5’055/4’194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2’302/2’153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GSM9220341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WT 2023-05-17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vSAM &amp; leaf primordia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Heidelberg (DE)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2’674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4’798/3’938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2’230/2’085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GSM9220342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WT 2024-1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Leaf developmental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Bern (CH)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13’441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5’087/3’956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2’223/2’039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GSM9220343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WT 2024-2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Leaf developmental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Bern (CH)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11’546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6’304/5’366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2’720/2’626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GSM9220344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WT 2024-3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Leaf developmental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Bern (CH)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16’607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6’734/5’955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2’841/2’763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GSM9220345</w:t>
            </w:r>
          </w:p>
        </w:tc>
      </w:tr>
    </w:tbl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