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SEO &amp; Google Indexing Architecture</w:t>
      </w:r>
    </w:p>
    <w:p>
      <w:pPr>
        <w:spacing w:after="60"/>
      </w:pPr>
      <w:r>
        <w:rPr>
          <w:color w:val="666666"/>
          <w:sz w:val="24"/>
          <w:szCs w:val="24"/>
        </w:rPr>
        <w:t xml:space="preserve">6thstreet.com / aivi.com PWA — Technical Reference</w:t>
      </w:r>
    </w:p>
    <w:p>
      <w:pPr>
        <w:spacing w:after="60"/>
      </w:pPr>
      <w:r>
        <w:rPr>
          <w:i/>
          <w:iCs/>
          <w:color w:val="666666"/>
          <w:sz w:val="20"/>
          <w:szCs w:val="20"/>
        </w:rPr>
        <w:t xml:space="preserve">Prepared by: Immu (Frontend Technical Lead)</w:t>
      </w:r>
    </w:p>
    <w:p>
      <w:pPr>
        <w:spacing w:after="400"/>
      </w:pPr>
      <w:r>
        <w:rPr>
          <w:i/>
          <w:iCs/>
          <w:color w:val="666666"/>
          <w:sz w:val="20"/>
          <w:szCs w:val="20"/>
        </w:rPr>
        <w:t xml:space="preserve">Scope: How the platform achieves complete Google indexing without server-side rendering (SSR)</w:t>
      </w:r>
    </w:p>
    <w:p>
      <w:pPr>
        <w:pStyle w:val="Heading1"/>
        <w:spacing w:after="180" w:before="360"/>
      </w:pPr>
      <w:r>
        <w:t xml:space="preserve">1. Summary</w:t>
      </w:r>
    </w:p>
    <w:p>
      <w:pPr>
        <w:spacing w:after="160"/>
      </w:pPr>
      <w:r>
        <w:t xml:space="preserve">This project runs as a client-side rendered (CSR) React SPA (ScandiPWA / Create React App build), served as static assets via Express and CloudFront — not server-side rendered (SSR). Despite this, the site achieves near-complete Google indexing and healthy SEO performance. This is not accidental: it is the result of a deliberate discovery-and-crawl-budget architecture that compensates for the lack of pre-rendered HTML.</w:t>
      </w:r>
    </w:p>
    <w:p>
      <w:pPr>
        <w:spacing w:after="160"/>
      </w:pPr>
      <w:r>
        <w:t xml:space="preserve">The short version: instead of making every page render fully on the server (SSR), the project makes every page independently discoverable and crawl-cheap for Google, and relies on Googlebot's two-pass rendering pipeline to fill in the content. This document explains that architecture, contrasts it with the SSR-first standard, and closes with the one infrastructure gap currently open on the aivi.com domain.</w:t>
      </w:r>
    </w:p>
    <w:p>
      <w:pPr>
        <w:pStyle w:val="Heading1"/>
        <w:spacing w:after="180" w:before="360"/>
      </w:pPr>
      <w:r>
        <w:t xml:space="preserve">2. Current Rendering Model</w:t>
      </w:r>
    </w:p>
    <w:p>
      <w:pPr>
        <w:pStyle w:val="Heading2"/>
        <w:spacing w:after="140" w:before="280"/>
      </w:pPr>
      <w:r>
        <w:t xml:space="preserve">2.1 What actually happens on page load</w:t>
      </w:r>
    </w:p>
    <w:p>
      <w:pPr>
        <w:pStyle w:val="ListParagraph"/>
        <w:numPr>
          <w:ilvl w:val="0"/>
          <w:numId w:val="2"/>
        </w:numPr>
        <w:spacing w:after="80"/>
      </w:pPr>
      <w:r>
        <w:t xml:space="preserve">Every route — PLP, PDP, CMS pages, homepage — is served the identical static index.html shell.</w:t>
      </w:r>
    </w:p>
    <w:p>
      <w:pPr>
        <w:pStyle w:val="ListParagraph"/>
        <w:numPr>
          <w:ilvl w:val="0"/>
          <w:numId w:val="2"/>
        </w:numPr>
        <w:spacing w:after="80"/>
      </w:pPr>
      <w:r>
        <w:t xml:space="preserve">The initial HTML response contains an empty &lt;div id="root"&gt;&lt;/div&gt;. No product data, no listing markup, no price/availability content is present in the raw response.</w:t>
      </w:r>
    </w:p>
    <w:p>
      <w:pPr>
        <w:pStyle w:val="ListParagraph"/>
        <w:numPr>
          <w:ilvl w:val="0"/>
          <w:numId w:val="2"/>
        </w:numPr>
        <w:spacing w:after="80"/>
      </w:pPr>
      <w:r>
        <w:t xml:space="preserve">React mounts client-side after the JS bundle (main + chunked route bundles) downloads, then fetches data (GraphQL/Algolia) and renders in-browser.</w:t>
      </w:r>
    </w:p>
    <w:p>
      <w:pPr>
        <w:pStyle w:val="ListParagraph"/>
        <w:numPr>
          <w:ilvl w:val="0"/>
          <w:numId w:val="2"/>
        </w:numPr>
        <w:spacing w:after="80"/>
      </w:pPr>
      <w:r>
        <w:t xml:space="preserve">Confirmed directly: curl and raw HTML inspection of en-ae.aivi.com show the same empty shell + New Relic/GTM/consent bootstrap scripts on every route, regardless of path.</w:t>
      </w:r>
    </w:p>
    <w:p>
      <w:pPr>
        <w:spacing w:after="160"/>
      </w:pPr>
      <w:r>
        <w:t xml:space="preserve"/>
      </w:r>
    </w:p>
    <w:p>
      <w:pPr>
        <w:pStyle w:val="Heading2"/>
        <w:spacing w:after="140" w:before="280"/>
      </w:pPr>
      <w:r>
        <w:t xml:space="preserve">2.2 Why this still gets indexed</w:t>
      </w:r>
    </w:p>
    <w:p>
      <w:pPr>
        <w:spacing w:after="160"/>
      </w:pPr>
      <w:r>
        <w:t xml:space="preserve">Google does not index in a single pass. Googlebot first fetches raw HTML (what curl sees — the empty shell), then queues a second pass where a headless Chromium renderer executes the JS, waits for network activity to settle, and indexes the resulting DOM. This project is indexed almost entirely on the strength of that second pass, plus three supporting systems described in Section 3.</w:t>
      </w:r>
    </w:p>
    <w:p>
      <w:pPr>
        <w:pStyle w:val="Heading1"/>
        <w:spacing w:after="180" w:before="360"/>
      </w:pPr>
      <w:r>
        <w:t xml:space="preserve">3. What Makes Indexing Work Despite No SSR</w:t>
      </w:r>
    </w:p>
    <w:p>
      <w:pPr>
        <w:pStyle w:val="Heading2"/>
        <w:spacing w:after="140" w:before="280"/>
      </w:pPr>
      <w:r>
        <w:t xml:space="preserve">3.1 Complete, sharded sitemap coverage</w:t>
      </w:r>
    </w:p>
    <w:p>
      <w:pPr>
        <w:pStyle w:val="ListParagraph"/>
        <w:numPr>
          <w:ilvl w:val="0"/>
          <w:numId w:val="2"/>
        </w:numPr>
        <w:spacing w:after="80"/>
      </w:pPr>
      <w:r>
        <w:t xml:space="preserve">A sitemap index (sitemap.xml) is served per-locale/market (12 storefronts: en/ar × AE, SA, BH, KW, OM, QA).</w:t>
      </w:r>
    </w:p>
    <w:p>
      <w:pPr>
        <w:pStyle w:val="ListParagraph"/>
        <w:numPr>
          <w:ilvl w:val="0"/>
          <w:numId w:val="2"/>
        </w:numPr>
        <w:spacing w:after="80"/>
      </w:pPr>
      <w:r>
        <w:t xml:space="preserve">Each index fans out into ~20–30 shard files (e.g. uae_en_sitemap-1-1.xml ... 1-30.xml), each containing large batches of product/category URLs with lastmod timestamps.</w:t>
      </w:r>
    </w:p>
    <w:p>
      <w:pPr>
        <w:pStyle w:val="ListParagraph"/>
        <w:numPr>
          <w:ilvl w:val="0"/>
          <w:numId w:val="2"/>
        </w:numPr>
        <w:spacing w:after="80"/>
      </w:pPr>
      <w:r>
        <w:t xml:space="preserve">This means Google does not need to discover the catalog by crawling internal links and rendering pages one by one — it is handed the complete, current URL list directly. This is the single biggest lever this architecture uses to substitute for SSR.</w:t>
      </w:r>
    </w:p>
    <w:p>
      <w:pPr>
        <w:pStyle w:val="Heading2"/>
        <w:spacing w:after="140" w:before="280"/>
      </w:pPr>
      <w:r>
        <w:t xml:space="preserve">3.2 Deliberate crawl-budget management via robots.txt</w:t>
      </w:r>
    </w:p>
    <w:p>
      <w:pPr>
        <w:pStyle w:val="ListParagraph"/>
        <w:numPr>
          <w:ilvl w:val="0"/>
          <w:numId w:val="2"/>
        </w:numPr>
        <w:spacing w:after="80"/>
      </w:pPr>
      <w:r>
        <w:t xml:space="preserve">Non-content paths are explicitly disallowed: /my-account/, /cart, /checkout, /catalogsearch/result/, /sales/order/history/, /storecredit/info.</w:t>
      </w:r>
    </w:p>
    <w:p>
      <w:pPr>
        <w:pStyle w:val="ListParagraph"/>
        <w:numPr>
          <w:ilvl w:val="0"/>
          <w:numId w:val="2"/>
        </w:numPr>
        <w:spacing w:after="80"/>
      </w:pPr>
      <w:r>
        <w:t xml:space="preserve">This keeps Googlebot's limited render budget focused on PLP/PDP/CMS pages — the pages that actually need to rank — instead of being spent on account/session-specific pages that provide no SEO value.</w:t>
      </w:r>
    </w:p>
    <w:p>
      <w:pPr>
        <w:pStyle w:val="ListParagraph"/>
        <w:numPr>
          <w:ilvl w:val="0"/>
          <w:numId w:val="2"/>
        </w:numPr>
        <w:spacing w:after="80"/>
      </w:pPr>
      <w:r>
        <w:t xml:space="preserve">SEO crawler bots (AhrefsBot, AhrefsSiteAudit) are explicitly allowed, indicating active, ongoing SEO health monitoring rather than a “set and forget” configuration.</w:t>
      </w:r>
    </w:p>
    <w:p>
      <w:pPr>
        <w:pStyle w:val="Heading2"/>
        <w:spacing w:after="140" w:before="280"/>
      </w:pPr>
      <w:r>
        <w:t xml:space="preserve">3.3 Client-side meta tag injection (react-helmet)</w:t>
      </w:r>
    </w:p>
    <w:p>
      <w:pPr>
        <w:pStyle w:val="ListParagraph"/>
        <w:numPr>
          <w:ilvl w:val="0"/>
          <w:numId w:val="2"/>
        </w:numPr>
        <w:spacing w:after="80"/>
      </w:pPr>
      <w:r>
        <w:t xml:space="preserve">Per-route &lt;title&gt;, &lt;meta description&gt;, canonical tags, and Open Graph data are injected client-side via react-helmet as each page mounts.</w:t>
      </w:r>
    </w:p>
    <w:p>
      <w:pPr>
        <w:pStyle w:val="ListParagraph"/>
        <w:numPr>
          <w:ilvl w:val="0"/>
          <w:numId w:val="2"/>
        </w:numPr>
        <w:spacing w:after="80"/>
      </w:pPr>
      <w:r>
        <w:t xml:space="preserve">Googlebot's second-pass renderer captures these post-render tags, so despite CSR, indexed pages still get accurate, page-specific metadata rather than one generic title/description for the whole site.</w:t>
      </w:r>
    </w:p>
    <w:p>
      <w:pPr>
        <w:pStyle w:val="Heading2"/>
        <w:spacing w:after="140" w:before="280"/>
      </w:pPr>
      <w:r>
        <w:t xml:space="preserve">3.4 Domain &amp; brand authority</w:t>
      </w:r>
    </w:p>
    <w:p>
      <w:pPr>
        <w:pStyle w:val="ListParagraph"/>
        <w:numPr>
          <w:ilvl w:val="0"/>
          <w:numId w:val="2"/>
        </w:numPr>
        <w:spacing w:after="80"/>
      </w:pPr>
      <w:r>
        <w:t xml:space="preserve">6thstreet.com (the pre-rebrand domain) is an established, high-traffic GCC retail domain with an existing backlink profile and branded search demand.</w:t>
      </w:r>
    </w:p>
    <w:p>
      <w:pPr>
        <w:pStyle w:val="ListParagraph"/>
        <w:numPr>
          <w:ilvl w:val="0"/>
          <w:numId w:val="2"/>
        </w:numPr>
        <w:spacing w:after="80"/>
      </w:pPr>
      <w:r>
        <w:t xml:space="preserve">Google's ranking algorithm weighs domain authority and branded search signals heavily — this reduces reliance on perfect technical SEO to achieve strong rankings, though it does not replace the need for correct crawlability.</w:t>
      </w:r>
    </w:p>
    <w:p>
      <w:pPr>
        <w:pStyle w:val="Heading1"/>
        <w:spacing w:after="180" w:before="360"/>
      </w:pPr>
      <w:r>
        <w:t xml:space="preserve">4. Standard (SSR) Indexing vs. This Project's Model</w:t>
      </w:r>
    </w:p>
    <w:p>
      <w:pPr>
        <w:spacing w:after="160"/>
      </w:pPr>
      <w:r>
        <w:t xml:space="preserve">The table below contrasts a typical SSR/SSG-first e-commerce architecture with how this project achieves comparable indexing outcomes through a CSR + sitemap-first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2937" w:color="auto" w:val="clear"/>
            <w:tcMar>
              <w:top w:type="dxa" w:w="100"/>
              <w:left w:type="dxa" w:w="120"/>
              <w:bottom w:type="dxa" w:w="100"/>
              <w:right w:type="dxa" w:w="120"/>
            </w:tcMar>
          </w:tcPr>
          <w:p>
            <w:pPr>
              <w:jc w:val="left"/>
            </w:pPr>
            <w:r>
              <w:rPr>
                <w:b/>
                <w:bCs/>
                <w:color w:val="FFFFFF"/>
              </w:rPr>
              <w:t xml:space="preserve">Aspect</w:t>
            </w:r>
          </w:p>
        </w:tc>
        <w:tc>
          <w:tcPr>
            <w:tcW w:type="dxa" w:w="3475"/>
            <w:shd w:fill="1F2937" w:color="auto" w:val="clear"/>
            <w:tcMar>
              <w:top w:type="dxa" w:w="100"/>
              <w:left w:type="dxa" w:w="120"/>
              <w:bottom w:type="dxa" w:w="100"/>
              <w:right w:type="dxa" w:w="120"/>
            </w:tcMar>
          </w:tcPr>
          <w:p>
            <w:pPr>
              <w:jc w:val="left"/>
            </w:pPr>
            <w:r>
              <w:rPr>
                <w:b/>
                <w:bCs/>
                <w:color w:val="FFFFFF"/>
              </w:rPr>
              <w:t xml:space="preserve">Standard SSR/SSG project</w:t>
            </w:r>
          </w:p>
        </w:tc>
        <w:tc>
          <w:tcPr>
            <w:tcW w:type="dxa" w:w="3475"/>
            <w:shd w:fill="1F2937" w:color="auto" w:val="clear"/>
            <w:tcMar>
              <w:top w:type="dxa" w:w="100"/>
              <w:left w:type="dxa" w:w="120"/>
              <w:bottom w:type="dxa" w:w="100"/>
              <w:right w:type="dxa" w:w="120"/>
            </w:tcMar>
          </w:tcPr>
          <w:p>
            <w:pPr>
              <w:jc w:val="left"/>
            </w:pPr>
            <w:r>
              <w:rPr>
                <w:b/>
                <w:bCs/>
                <w:color w:val="FFFFFF"/>
              </w:rPr>
              <w:t xml:space="preserve">This project (CSR)</w:t>
            </w:r>
          </w:p>
        </w:tc>
      </w:tr>
      <w:tr>
        <w:tc>
          <w:tcPr>
            <w:tcW w:type="dxa" w:w="2400"/>
            <w:tcMar>
              <w:top w:type="dxa" w:w="100"/>
              <w:left w:type="dxa" w:w="120"/>
              <w:bottom w:type="dxa" w:w="100"/>
              <w:right w:type="dxa" w:w="120"/>
            </w:tcMar>
          </w:tcPr>
          <w:p>
            <w:pPr>
              <w:jc w:val="left"/>
            </w:pPr>
            <w:r>
              <w:rPr>
                <w:b w:val="false"/>
                <w:bCs w:val="false"/>
              </w:rPr>
              <w:t xml:space="preserve">First HTML response</w:t>
            </w:r>
          </w:p>
        </w:tc>
        <w:tc>
          <w:tcPr>
            <w:tcW w:type="dxa" w:w="3475"/>
            <w:tcMar>
              <w:top w:type="dxa" w:w="100"/>
              <w:left w:type="dxa" w:w="120"/>
              <w:bottom w:type="dxa" w:w="100"/>
              <w:right w:type="dxa" w:w="120"/>
            </w:tcMar>
          </w:tcPr>
          <w:p>
            <w:pPr>
              <w:jc w:val="left"/>
            </w:pPr>
            <w:r>
              <w:rPr>
                <w:b w:val="false"/>
                <w:bCs w:val="false"/>
              </w:rPr>
              <w:t xml:space="preserve">Fully rendered content present immediately (product data, prices, markup all in raw HTML)</w:t>
            </w:r>
          </w:p>
        </w:tc>
        <w:tc>
          <w:tcPr>
            <w:tcW w:type="dxa" w:w="3475"/>
            <w:tcMar>
              <w:top w:type="dxa" w:w="100"/>
              <w:left w:type="dxa" w:w="120"/>
              <w:bottom w:type="dxa" w:w="100"/>
              <w:right w:type="dxa" w:w="120"/>
            </w:tcMar>
          </w:tcPr>
          <w:p>
            <w:pPr>
              <w:jc w:val="left"/>
            </w:pPr>
            <w:r>
              <w:rPr>
                <w:b w:val="false"/>
                <w:bCs w:val="false"/>
              </w:rPr>
              <w:t xml:space="preserve">Empty shell (&lt;div id="root"&gt;); content only exists after JS executes</w:t>
            </w:r>
          </w:p>
        </w:tc>
      </w:tr>
      <w:tr>
        <w:tc>
          <w:tcPr>
            <w:tcW w:type="dxa" w:w="2400"/>
            <w:tcMar>
              <w:top w:type="dxa" w:w="100"/>
              <w:left w:type="dxa" w:w="120"/>
              <w:bottom w:type="dxa" w:w="100"/>
              <w:right w:type="dxa" w:w="120"/>
            </w:tcMar>
          </w:tcPr>
          <w:p>
            <w:pPr>
              <w:jc w:val="left"/>
            </w:pPr>
            <w:r>
              <w:rPr>
                <w:b w:val="false"/>
                <w:bCs w:val="false"/>
              </w:rPr>
              <w:t xml:space="preserve">Indexing path</w:t>
            </w:r>
          </w:p>
        </w:tc>
        <w:tc>
          <w:tcPr>
            <w:tcW w:type="dxa" w:w="3475"/>
            <w:tcMar>
              <w:top w:type="dxa" w:w="100"/>
              <w:left w:type="dxa" w:w="120"/>
              <w:bottom w:type="dxa" w:w="100"/>
              <w:right w:type="dxa" w:w="120"/>
            </w:tcMar>
          </w:tcPr>
          <w:p>
            <w:pPr>
              <w:jc w:val="left"/>
            </w:pPr>
            <w:r>
              <w:rPr>
                <w:b w:val="false"/>
                <w:bCs w:val="false"/>
              </w:rPr>
              <w:t xml:space="preserve">Single crawl pass — Google can index directly from raw HTML</w:t>
            </w:r>
          </w:p>
        </w:tc>
        <w:tc>
          <w:tcPr>
            <w:tcW w:type="dxa" w:w="3475"/>
            <w:tcMar>
              <w:top w:type="dxa" w:w="100"/>
              <w:left w:type="dxa" w:w="120"/>
              <w:bottom w:type="dxa" w:w="100"/>
              <w:right w:type="dxa" w:w="120"/>
            </w:tcMar>
          </w:tcPr>
          <w:p>
            <w:pPr>
              <w:jc w:val="left"/>
            </w:pPr>
            <w:r>
              <w:rPr>
                <w:b w:val="false"/>
                <w:bCs w:val="false"/>
              </w:rPr>
              <w:t xml:space="preserve">Two-pass — must wait for Google's render queue (can lag by hours/days)</w:t>
            </w:r>
          </w:p>
        </w:tc>
      </w:tr>
      <w:tr>
        <w:tc>
          <w:tcPr>
            <w:tcW w:type="dxa" w:w="2400"/>
            <w:tcMar>
              <w:top w:type="dxa" w:w="100"/>
              <w:left w:type="dxa" w:w="120"/>
              <w:bottom w:type="dxa" w:w="100"/>
              <w:right w:type="dxa" w:w="120"/>
            </w:tcMar>
          </w:tcPr>
          <w:p>
            <w:pPr>
              <w:jc w:val="left"/>
            </w:pPr>
            <w:r>
              <w:rPr>
                <w:b w:val="false"/>
                <w:bCs w:val="false"/>
              </w:rPr>
              <w:t xml:space="preserve">Crawl budget cost</w:t>
            </w:r>
          </w:p>
        </w:tc>
        <w:tc>
          <w:tcPr>
            <w:tcW w:type="dxa" w:w="3475"/>
            <w:tcMar>
              <w:top w:type="dxa" w:w="100"/>
              <w:left w:type="dxa" w:w="120"/>
              <w:bottom w:type="dxa" w:w="100"/>
              <w:right w:type="dxa" w:w="120"/>
            </w:tcMar>
          </w:tcPr>
          <w:p>
            <w:pPr>
              <w:jc w:val="left"/>
            </w:pPr>
            <w:r>
              <w:rPr>
                <w:b w:val="false"/>
                <w:bCs w:val="false"/>
              </w:rPr>
              <w:t xml:space="preserve">Low — cheap to parse static HTML per URL</w:t>
            </w:r>
          </w:p>
        </w:tc>
        <w:tc>
          <w:tcPr>
            <w:tcW w:type="dxa" w:w="3475"/>
            <w:tcMar>
              <w:top w:type="dxa" w:w="100"/>
              <w:left w:type="dxa" w:w="120"/>
              <w:bottom w:type="dxa" w:w="100"/>
              <w:right w:type="dxa" w:w="120"/>
            </w:tcMar>
          </w:tcPr>
          <w:p>
            <w:pPr>
              <w:jc w:val="left"/>
            </w:pPr>
            <w:r>
              <w:rPr>
                <w:b w:val="false"/>
                <w:bCs w:val="false"/>
              </w:rPr>
              <w:t xml:space="preserve">Higher — each URL costs Google real compute (headless Chromium render)</w:t>
            </w:r>
          </w:p>
        </w:tc>
      </w:tr>
      <w:tr>
        <w:tc>
          <w:tcPr>
            <w:tcW w:type="dxa" w:w="2400"/>
            <w:tcMar>
              <w:top w:type="dxa" w:w="100"/>
              <w:left w:type="dxa" w:w="120"/>
              <w:bottom w:type="dxa" w:w="100"/>
              <w:right w:type="dxa" w:w="120"/>
            </w:tcMar>
          </w:tcPr>
          <w:p>
            <w:pPr>
              <w:jc w:val="left"/>
            </w:pPr>
            <w:r>
              <w:rPr>
                <w:b w:val="false"/>
                <w:bCs w:val="false"/>
              </w:rPr>
              <w:t xml:space="preserve">URL discovery</w:t>
            </w:r>
          </w:p>
        </w:tc>
        <w:tc>
          <w:tcPr>
            <w:tcW w:type="dxa" w:w="3475"/>
            <w:tcMar>
              <w:top w:type="dxa" w:w="100"/>
              <w:left w:type="dxa" w:w="120"/>
              <w:bottom w:type="dxa" w:w="100"/>
              <w:right w:type="dxa" w:w="120"/>
            </w:tcMar>
          </w:tcPr>
          <w:p>
            <w:pPr>
              <w:jc w:val="left"/>
            </w:pPr>
            <w:r>
              <w:rPr>
                <w:b w:val="false"/>
                <w:bCs w:val="false"/>
              </w:rPr>
              <w:t xml:space="preserve">Can rely partly on crawling + internal links, since each page is cheap to fetch and parse</w:t>
            </w:r>
          </w:p>
        </w:tc>
        <w:tc>
          <w:tcPr>
            <w:tcW w:type="dxa" w:w="3475"/>
            <w:tcMar>
              <w:top w:type="dxa" w:w="100"/>
              <w:left w:type="dxa" w:w="120"/>
              <w:bottom w:type="dxa" w:w="100"/>
              <w:right w:type="dxa" w:w="120"/>
            </w:tcMar>
          </w:tcPr>
          <w:p>
            <w:pPr>
              <w:jc w:val="left"/>
            </w:pPr>
            <w:r>
              <w:rPr>
                <w:b w:val="false"/>
                <w:bCs w:val="false"/>
              </w:rPr>
              <w:t xml:space="preserve">Must rely almost entirely on complete, accurate sitemaps — discovery via crawling alone is inefficient at catalog scale</w:t>
            </w:r>
          </w:p>
        </w:tc>
      </w:tr>
      <w:tr>
        <w:tc>
          <w:tcPr>
            <w:tcW w:type="dxa" w:w="2400"/>
            <w:tcMar>
              <w:top w:type="dxa" w:w="100"/>
              <w:left w:type="dxa" w:w="120"/>
              <w:bottom w:type="dxa" w:w="100"/>
              <w:right w:type="dxa" w:w="120"/>
            </w:tcMar>
          </w:tcPr>
          <w:p>
            <w:pPr>
              <w:jc w:val="left"/>
            </w:pPr>
            <w:r>
              <w:rPr>
                <w:b w:val="false"/>
                <w:bCs w:val="false"/>
              </w:rPr>
              <w:t xml:space="preserve">Core Web Vitals (LCP)</w:t>
            </w:r>
          </w:p>
        </w:tc>
        <w:tc>
          <w:tcPr>
            <w:tcW w:type="dxa" w:w="3475"/>
            <w:tcMar>
              <w:top w:type="dxa" w:w="100"/>
              <w:left w:type="dxa" w:w="120"/>
              <w:bottom w:type="dxa" w:w="100"/>
              <w:right w:type="dxa" w:w="120"/>
            </w:tcMar>
          </w:tcPr>
          <w:p>
            <w:pPr>
              <w:jc w:val="left"/>
            </w:pPr>
            <w:r>
              <w:rPr>
                <w:b w:val="false"/>
                <w:bCs w:val="false"/>
              </w:rPr>
              <w:t xml:space="preserve">Generally faster — content visible on first paint</w:t>
            </w:r>
          </w:p>
        </w:tc>
        <w:tc>
          <w:tcPr>
            <w:tcW w:type="dxa" w:w="3475"/>
            <w:tcMar>
              <w:top w:type="dxa" w:w="100"/>
              <w:left w:type="dxa" w:w="120"/>
              <w:bottom w:type="dxa" w:w="100"/>
              <w:right w:type="dxa" w:w="120"/>
            </w:tcMar>
          </w:tcPr>
          <w:p>
            <w:pPr>
              <w:jc w:val="left"/>
            </w:pPr>
            <w:r>
              <w:rPr>
                <w:b w:val="false"/>
                <w:bCs w:val="false"/>
              </w:rPr>
              <w:t xml:space="preserve">Slower — content only visible after JS download + execute + data fetch</w:t>
            </w:r>
          </w:p>
        </w:tc>
      </w:tr>
      <w:tr>
        <w:tc>
          <w:tcPr>
            <w:tcW w:type="dxa" w:w="2400"/>
            <w:tcMar>
              <w:top w:type="dxa" w:w="100"/>
              <w:left w:type="dxa" w:w="120"/>
              <w:bottom w:type="dxa" w:w="100"/>
              <w:right w:type="dxa" w:w="120"/>
            </w:tcMar>
          </w:tcPr>
          <w:p>
            <w:pPr>
              <w:jc w:val="left"/>
            </w:pPr>
            <w:r>
              <w:rPr>
                <w:b w:val="false"/>
                <w:bCs w:val="false"/>
              </w:rPr>
              <w:t xml:space="preserve">New page time-to-index</w:t>
            </w:r>
          </w:p>
        </w:tc>
        <w:tc>
          <w:tcPr>
            <w:tcW w:type="dxa" w:w="3475"/>
            <w:tcMar>
              <w:top w:type="dxa" w:w="100"/>
              <w:left w:type="dxa" w:w="120"/>
              <w:bottom w:type="dxa" w:w="100"/>
              <w:right w:type="dxa" w:w="120"/>
            </w:tcMar>
          </w:tcPr>
          <w:p>
            <w:pPr>
              <w:jc w:val="left"/>
            </w:pPr>
            <w:r>
              <w:rPr>
                <w:b w:val="false"/>
                <w:bCs w:val="false"/>
              </w:rPr>
              <w:t xml:space="preserve">Typically fast — minimal render overhead per new URL</w:t>
            </w:r>
          </w:p>
        </w:tc>
        <w:tc>
          <w:tcPr>
            <w:tcW w:type="dxa" w:w="3475"/>
            <w:tcMar>
              <w:top w:type="dxa" w:w="100"/>
              <w:left w:type="dxa" w:w="120"/>
              <w:bottom w:type="dxa" w:w="100"/>
              <w:right w:type="dxa" w:w="120"/>
            </w:tcMar>
          </w:tcPr>
          <w:p>
            <w:pPr>
              <w:jc w:val="left"/>
            </w:pPr>
            <w:r>
              <w:rPr>
                <w:b w:val="false"/>
                <w:bCs w:val="false"/>
              </w:rPr>
              <w:t xml:space="preserve">Slower — gated by Google's render queue capacity</w:t>
            </w:r>
          </w:p>
        </w:tc>
      </w:tr>
      <w:tr>
        <w:tc>
          <w:tcPr>
            <w:tcW w:type="dxa" w:w="2400"/>
            <w:tcMar>
              <w:top w:type="dxa" w:w="100"/>
              <w:left w:type="dxa" w:w="120"/>
              <w:bottom w:type="dxa" w:w="100"/>
              <w:right w:type="dxa" w:w="120"/>
            </w:tcMar>
          </w:tcPr>
          <w:p>
            <w:pPr>
              <w:jc w:val="left"/>
            </w:pPr>
            <w:r>
              <w:rPr>
                <w:b w:val="false"/>
                <w:bCs w:val="false"/>
              </w:rPr>
              <w:t xml:space="preserve">Operational overhead</w:t>
            </w:r>
          </w:p>
        </w:tc>
        <w:tc>
          <w:tcPr>
            <w:tcW w:type="dxa" w:w="3475"/>
            <w:tcMar>
              <w:top w:type="dxa" w:w="100"/>
              <w:left w:type="dxa" w:w="120"/>
              <w:bottom w:type="dxa" w:w="100"/>
              <w:right w:type="dxa" w:w="120"/>
            </w:tcMar>
          </w:tcPr>
          <w:p>
            <w:pPr>
              <w:jc w:val="left"/>
            </w:pPr>
            <w:r>
              <w:rPr>
                <w:b w:val="false"/>
                <w:bCs w:val="false"/>
              </w:rPr>
              <w:t xml:space="preserve">Lower ongoing SEO-infra maintenance once SSR pipeline is built</w:t>
            </w:r>
          </w:p>
        </w:tc>
        <w:tc>
          <w:tcPr>
            <w:tcW w:type="dxa" w:w="3475"/>
            <w:tcMar>
              <w:top w:type="dxa" w:w="100"/>
              <w:left w:type="dxa" w:w="120"/>
              <w:bottom w:type="dxa" w:w="100"/>
              <w:right w:type="dxa" w:w="120"/>
            </w:tcMar>
          </w:tcPr>
          <w:p>
            <w:pPr>
              <w:jc w:val="left"/>
            </w:pPr>
            <w:r>
              <w:rPr>
                <w:b w:val="false"/>
                <w:bCs w:val="false"/>
              </w:rPr>
              <w:t xml:space="preserve">Higher — sitemap generation, CDN routing, and robots.txt must all stay correct and in sync, or discovery breaks silently</w:t>
            </w:r>
          </w:p>
        </w:tc>
      </w:tr>
      <w:tr>
        <w:tc>
          <w:tcPr>
            <w:tcW w:type="dxa" w:w="2400"/>
            <w:tcMar>
              <w:top w:type="dxa" w:w="100"/>
              <w:left w:type="dxa" w:w="120"/>
              <w:bottom w:type="dxa" w:w="100"/>
              <w:right w:type="dxa" w:w="120"/>
            </w:tcMar>
          </w:tcPr>
          <w:p>
            <w:pPr>
              <w:jc w:val="left"/>
            </w:pPr>
            <w:r>
              <w:rPr>
                <w:b w:val="false"/>
                <w:bCs w:val="false"/>
              </w:rPr>
              <w:t xml:space="preserve">Failure mode</w:t>
            </w:r>
          </w:p>
        </w:tc>
        <w:tc>
          <w:tcPr>
            <w:tcW w:type="dxa" w:w="3475"/>
            <w:tcMar>
              <w:top w:type="dxa" w:w="100"/>
              <w:left w:type="dxa" w:w="120"/>
              <w:bottom w:type="dxa" w:w="100"/>
              <w:right w:type="dxa" w:w="120"/>
            </w:tcMar>
          </w:tcPr>
          <w:p>
            <w:pPr>
              <w:jc w:val="left"/>
            </w:pPr>
            <w:r>
              <w:rPr>
                <w:b w:val="false"/>
                <w:bCs w:val="false"/>
              </w:rPr>
              <w:t xml:space="preserve">Rare — rendering happens once, server-side, easy to test directly</w:t>
            </w:r>
          </w:p>
        </w:tc>
        <w:tc>
          <w:tcPr>
            <w:tcW w:type="dxa" w:w="3475"/>
            <w:tcMar>
              <w:top w:type="dxa" w:w="100"/>
              <w:left w:type="dxa" w:w="120"/>
              <w:bottom w:type="dxa" w:w="100"/>
              <w:right w:type="dxa" w:w="120"/>
            </w:tcMar>
          </w:tcPr>
          <w:p>
            <w:pPr>
              <w:jc w:val="left"/>
            </w:pPr>
            <w:r>
              <w:rPr>
                <w:b w:val="false"/>
                <w:bCs w:val="false"/>
              </w:rPr>
              <w:t xml:space="preserve">Sitemap/CDN misconfiguration can silently break discovery for large chunks of the catalog without any visible frontend symptom (see Section 5)</w:t>
            </w:r>
          </w:p>
        </w:tc>
      </w:tr>
    </w:tbl>
    <w:p>
      <w:pPr>
        <w:spacing w:after="240"/>
      </w:pPr>
    </w:p>
    <w:p>
      <w:pPr>
        <w:spacing w:after="160"/>
      </w:pPr>
      <w:r>
        <w:rPr>
          <w:b/>
          <w:bCs/>
        </w:rPr>
        <w:t xml:space="preserve">Net assessment: </w:t>
      </w:r>
    </w:p>
    <w:p>
      <w:pPr>
        <w:spacing w:after="160"/>
      </w:pPr>
      <w:r>
        <w:t xml:space="preserve">This project's CSR-plus-sitemap-first approach is a workable, lower-engineering-cost substitute for SSR at the current scale, but it trades away resilience — it depends on several independent systems (sitemap generation, CDN routing, robots.txt, Googlebot's render queue) all staying correctly wired together. An SSR/SSG architecture would remove most of this fragility at the cost of a larger upfront and ongoing engineering investment (a real Node-side render pipeline, cache invalidation strategy, etc.).</w:t>
      </w:r>
    </w:p>
    <w:p>
      <w:pPr>
        <w:pStyle w:val="Heading1"/>
        <w:spacing w:after="180" w:before="360"/>
      </w:pPr>
      <w:r>
        <w:t xml:space="preserve">5. Currently Residing Issue</w:t>
      </w:r>
    </w:p>
    <w:p>
      <w:pPr>
        <w:spacing w:after="160"/>
      </w:pPr>
      <w:r>
        <w:rPr>
          <w:i/>
          <w:iCs/>
          <w:color w:val="666666"/>
        </w:rPr>
        <w:t xml:space="preserve">One active infrastructure gap has been identified, isolated to the aivi.com domain migration (does not affect the legacy 6thstreet.com domain). This is documented separately as an infra ticket; summarized here for completeness.</w:t>
      </w:r>
    </w:p>
    <w:p>
      <w:pPr>
        <w:pStyle w:val="Heading2"/>
        <w:spacing w:after="140" w:before="280"/>
      </w:pPr>
      <w:r>
        <w:t xml:space="preserve">5.1 Issue: sitemap shard files not served correctly on aivi.com</w:t>
      </w:r>
    </w:p>
    <w:p>
      <w:pPr>
        <w:spacing w:after="160"/>
      </w:pPr>
      <w:r>
        <w:t xml:space="preserve">The top-level sitemap index (sitemap.xml) resolves correctly on aivi.com and correctly lists ~30 shard URLs per locale (e.g. /media/sitemap/uae_en_sitemap-1-1.xml). However, requests to the individual shard URLs do not return the shard XML — they return the SPA's index.html shell instead.</w:t>
      </w:r>
    </w:p>
    <w:p>
      <w:pPr>
        <w:pStyle w:val="Heading2"/>
        <w:spacing w:after="140" w:before="280"/>
      </w:pPr>
      <w:r>
        <w:t xml:space="preserve">5.2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00"/>
            <w:shd w:fill="1F2937" w:color="auto" w:val="clear"/>
            <w:tcMar>
              <w:top w:type="dxa" w:w="100"/>
              <w:left w:type="dxa" w:w="120"/>
              <w:bottom w:type="dxa" w:w="100"/>
              <w:right w:type="dxa" w:w="120"/>
            </w:tcMar>
          </w:tcPr>
          <w:p>
            <w:pPr>
              <w:jc w:val="left"/>
            </w:pPr>
            <w:r>
              <w:rPr>
                <w:b/>
                <w:bCs/>
                <w:color w:val="FFFFFF"/>
              </w:rPr>
              <w:t xml:space="preserve">Check</w:t>
            </w:r>
          </w:p>
        </w:tc>
        <w:tc>
          <w:tcPr>
            <w:tcW w:type="dxa" w:w="2875"/>
            <w:shd w:fill="1F2937" w:color="auto" w:val="clear"/>
            <w:tcMar>
              <w:top w:type="dxa" w:w="100"/>
              <w:left w:type="dxa" w:w="120"/>
              <w:bottom w:type="dxa" w:w="100"/>
              <w:right w:type="dxa" w:w="120"/>
            </w:tcMar>
          </w:tcPr>
          <w:p>
            <w:pPr>
              <w:jc w:val="left"/>
            </w:pPr>
            <w:r>
              <w:rPr>
                <w:b/>
                <w:bCs/>
                <w:color w:val="FFFFFF"/>
              </w:rPr>
              <w:t xml:space="preserve">6thstreet.com (old domain)</w:t>
            </w:r>
          </w:p>
        </w:tc>
        <w:tc>
          <w:tcPr>
            <w:tcW w:type="dxa" w:w="2875"/>
            <w:shd w:fill="1F2937" w:color="auto" w:val="clear"/>
            <w:tcMar>
              <w:top w:type="dxa" w:w="100"/>
              <w:left w:type="dxa" w:w="120"/>
              <w:bottom w:type="dxa" w:w="100"/>
              <w:right w:type="dxa" w:w="120"/>
            </w:tcMar>
          </w:tcPr>
          <w:p>
            <w:pPr>
              <w:jc w:val="left"/>
            </w:pPr>
            <w:r>
              <w:rPr>
                <w:b/>
                <w:bCs/>
                <w:color w:val="FFFFFF"/>
              </w:rPr>
              <w:t xml:space="preserve">aivi.com (new domain)</w:t>
            </w:r>
          </w:p>
        </w:tc>
      </w:tr>
      <w:tr>
        <w:tc>
          <w:tcPr>
            <w:tcW w:type="dxa" w:w="3600"/>
            <w:tcMar>
              <w:top w:type="dxa" w:w="100"/>
              <w:left w:type="dxa" w:w="120"/>
              <w:bottom w:type="dxa" w:w="100"/>
              <w:right w:type="dxa" w:w="120"/>
            </w:tcMar>
          </w:tcPr>
          <w:p>
            <w:pPr>
              <w:jc w:val="left"/>
            </w:pPr>
            <w:r>
              <w:rPr>
                <w:b w:val="false"/>
                <w:bCs w:val="false"/>
              </w:rPr>
              <w:t xml:space="preserve">GET /media/sitemap/*.xml — content-type</w:t>
            </w:r>
          </w:p>
        </w:tc>
        <w:tc>
          <w:tcPr>
            <w:tcW w:type="dxa" w:w="2875"/>
            <w:tcMar>
              <w:top w:type="dxa" w:w="100"/>
              <w:left w:type="dxa" w:w="120"/>
              <w:bottom w:type="dxa" w:w="100"/>
              <w:right w:type="dxa" w:w="120"/>
            </w:tcMar>
          </w:tcPr>
          <w:p>
            <w:pPr>
              <w:jc w:val="center"/>
            </w:pPr>
            <w:r>
              <w:rPr>
                <w:b/>
                <w:bCs/>
                <w:color w:val="2E7D32"/>
              </w:rPr>
              <w:t xml:space="preserve">text/xml (correct)</w:t>
            </w:r>
          </w:p>
        </w:tc>
        <w:tc>
          <w:tcPr>
            <w:tcW w:type="dxa" w:w="2875"/>
            <w:tcMar>
              <w:top w:type="dxa" w:w="100"/>
              <w:left w:type="dxa" w:w="120"/>
              <w:bottom w:type="dxa" w:w="100"/>
              <w:right w:type="dxa" w:w="120"/>
            </w:tcMar>
          </w:tcPr>
          <w:p>
            <w:pPr>
              <w:jc w:val="center"/>
            </w:pPr>
            <w:r>
              <w:rPr>
                <w:b/>
                <w:bCs/>
                <w:color w:val="C62828"/>
              </w:rPr>
              <w:t xml:space="preserve">text/html (wrong)</w:t>
            </w:r>
          </w:p>
        </w:tc>
      </w:tr>
      <w:tr>
        <w:tc>
          <w:tcPr>
            <w:tcW w:type="dxa" w:w="3600"/>
            <w:tcMar>
              <w:top w:type="dxa" w:w="100"/>
              <w:left w:type="dxa" w:w="120"/>
              <w:bottom w:type="dxa" w:w="100"/>
              <w:right w:type="dxa" w:w="120"/>
            </w:tcMar>
          </w:tcPr>
          <w:p>
            <w:pPr>
              <w:jc w:val="left"/>
            </w:pPr>
            <w:r>
              <w:rPr>
                <w:b w:val="false"/>
                <w:bCs w:val="false"/>
              </w:rPr>
              <w:t xml:space="preserve">Response size</w:t>
            </w:r>
          </w:p>
        </w:tc>
        <w:tc>
          <w:tcPr>
            <w:tcW w:type="dxa" w:w="2875"/>
            <w:tcMar>
              <w:top w:type="dxa" w:w="100"/>
              <w:left w:type="dxa" w:w="120"/>
              <w:bottom w:type="dxa" w:w="100"/>
              <w:right w:type="dxa" w:w="120"/>
            </w:tcMar>
          </w:tcPr>
          <w:p>
            <w:pPr>
              <w:jc w:val="left"/>
            </w:pPr>
            <w:r>
              <w:rPr>
                <w:b w:val="false"/>
                <w:bCs w:val="false"/>
              </w:rPr>
              <w:t xml:space="preserve">~11 MB (real shard data)</w:t>
            </w:r>
          </w:p>
        </w:tc>
        <w:tc>
          <w:tcPr>
            <w:tcW w:type="dxa" w:w="2875"/>
            <w:tcMar>
              <w:top w:type="dxa" w:w="100"/>
              <w:left w:type="dxa" w:w="120"/>
              <w:bottom w:type="dxa" w:w="100"/>
              <w:right w:type="dxa" w:w="120"/>
            </w:tcMar>
          </w:tcPr>
          <w:p>
            <w:pPr>
              <w:jc w:val="left"/>
            </w:pPr>
            <w:r>
              <w:rPr>
                <w:b w:val="false"/>
                <w:bCs w:val="false"/>
              </w:rPr>
              <w:t xml:space="preserve">~50 KB (matches SPA shell size)</w:t>
            </w:r>
          </w:p>
        </w:tc>
      </w:tr>
      <w:tr>
        <w:tc>
          <w:tcPr>
            <w:tcW w:type="dxa" w:w="3600"/>
            <w:tcMar>
              <w:top w:type="dxa" w:w="100"/>
              <w:left w:type="dxa" w:w="120"/>
              <w:bottom w:type="dxa" w:w="100"/>
              <w:right w:type="dxa" w:w="120"/>
            </w:tcMar>
          </w:tcPr>
          <w:p>
            <w:pPr>
              <w:jc w:val="left"/>
            </w:pPr>
            <w:r>
              <w:rPr>
                <w:b w:val="false"/>
                <w:bCs w:val="false"/>
              </w:rPr>
              <w:t xml:space="preserve">Origin server signature</w:t>
            </w:r>
          </w:p>
        </w:tc>
        <w:tc>
          <w:tcPr>
            <w:tcW w:type="dxa" w:w="2875"/>
            <w:tcMar>
              <w:top w:type="dxa" w:w="100"/>
              <w:left w:type="dxa" w:w="120"/>
              <w:bottom w:type="dxa" w:w="100"/>
              <w:right w:type="dxa" w:w="120"/>
            </w:tcMar>
          </w:tcPr>
          <w:p>
            <w:pPr>
              <w:jc w:val="left"/>
            </w:pPr>
            <w:r>
              <w:rPr>
                <w:b w:val="false"/>
                <w:bCs w:val="false"/>
              </w:rPr>
              <w:t xml:space="preserve">x-server: www-node-240 (real backend / Magento node)</w:t>
            </w:r>
          </w:p>
        </w:tc>
        <w:tc>
          <w:tcPr>
            <w:tcW w:type="dxa" w:w="2875"/>
            <w:tcMar>
              <w:top w:type="dxa" w:w="100"/>
              <w:left w:type="dxa" w:w="120"/>
              <w:bottom w:type="dxa" w:w="100"/>
              <w:right w:type="dxa" w:w="120"/>
            </w:tcMar>
          </w:tcPr>
          <w:p>
            <w:pPr>
              <w:jc w:val="left"/>
            </w:pPr>
            <w:r>
              <w:rPr>
                <w:b w:val="false"/>
                <w:bCs w:val="false"/>
              </w:rPr>
              <w:t xml:space="preserve">No backend signature — served straight from CloudFront cache/default origin</w:t>
            </w:r>
          </w:p>
        </w:tc>
      </w:tr>
      <w:tr>
        <w:tc>
          <w:tcPr>
            <w:tcW w:type="dxa" w:w="3600"/>
            <w:tcMar>
              <w:top w:type="dxa" w:w="100"/>
              <w:left w:type="dxa" w:w="120"/>
              <w:bottom w:type="dxa" w:w="100"/>
              <w:right w:type="dxa" w:w="120"/>
            </w:tcMar>
          </w:tcPr>
          <w:p>
            <w:pPr>
              <w:jc w:val="left"/>
            </w:pPr>
            <w:r>
              <w:rPr>
                <w:b w:val="false"/>
                <w:bCs w:val="false"/>
              </w:rPr>
              <w:t xml:space="preserve">GET /sitemap.xml itself</w:t>
            </w:r>
          </w:p>
        </w:tc>
        <w:tc>
          <w:tcPr>
            <w:tcW w:type="dxa" w:w="2875"/>
            <w:tcMar>
              <w:top w:type="dxa" w:w="100"/>
              <w:left w:type="dxa" w:w="120"/>
              <w:bottom w:type="dxa" w:w="100"/>
              <w:right w:type="dxa" w:w="120"/>
            </w:tcMar>
          </w:tcPr>
          <w:p>
            <w:pPr>
              <w:jc w:val="center"/>
            </w:pPr>
            <w:r>
              <w:rPr>
                <w:b/>
                <w:bCs/>
                <w:color w:val="2E7D32"/>
              </w:rPr>
              <w:t xml:space="preserve">Works</w:t>
            </w:r>
          </w:p>
        </w:tc>
        <w:tc>
          <w:tcPr>
            <w:tcW w:type="dxa" w:w="2875"/>
            <w:tcMar>
              <w:top w:type="dxa" w:w="100"/>
              <w:left w:type="dxa" w:w="120"/>
              <w:bottom w:type="dxa" w:w="100"/>
              <w:right w:type="dxa" w:w="120"/>
            </w:tcMar>
          </w:tcPr>
          <w:p>
            <w:pPr>
              <w:jc w:val="center"/>
            </w:pPr>
            <w:r>
              <w:rPr>
                <w:b/>
                <w:bCs/>
                <w:color w:val="2E7D32"/>
              </w:rPr>
              <w:t xml:space="preserve">Works</w:t>
            </w:r>
          </w:p>
        </w:tc>
      </w:tr>
    </w:tbl>
    <w:p>
      <w:pPr>
        <w:spacing w:after="240"/>
      </w:pPr>
    </w:p>
    <w:p>
      <w:pPr>
        <w:pStyle w:val="Heading2"/>
        <w:spacing w:after="140" w:before="280"/>
      </w:pPr>
      <w:r>
        <w:t xml:space="preserve">5.3 Root cause</w:t>
      </w:r>
    </w:p>
    <w:p>
      <w:pPr>
        <w:spacing w:after="160"/>
      </w:pPr>
      <w:r>
        <w:t xml:space="preserve">The CloudFront distribution for aivi.com has no cache behavior / origin route for the /media/sitemap/* path pattern. On the legacy 6thstreet.com distribution, this path is correctly routed to the backend origin (Magento application node) that generates the sitemap shards. On aivi.com, requests to this path fall through to the default behavior, which serves the static SPA build — the same fallback used for unmatched client-side routes.</w:t>
      </w:r>
    </w:p>
    <w:p>
      <w:pPr>
        <w:pStyle w:val="Heading2"/>
        <w:spacing w:after="140" w:before="280"/>
      </w:pPr>
      <w:r>
        <w:t xml:space="preserve">5.4 Impact</w:t>
      </w:r>
    </w:p>
    <w:p>
      <w:pPr>
        <w:pStyle w:val="ListParagraph"/>
        <w:numPr>
          <w:ilvl w:val="0"/>
          <w:numId w:val="2"/>
        </w:numPr>
        <w:spacing w:after="80"/>
      </w:pPr>
      <w:r>
        <w:t xml:space="preserve">The sitemap index on aivi.com references 30 shard URLs per locale; effectively none currently resolve to valid XML.</w:t>
      </w:r>
    </w:p>
    <w:p>
      <w:pPr>
        <w:pStyle w:val="ListParagraph"/>
        <w:numPr>
          <w:ilvl w:val="0"/>
          <w:numId w:val="2"/>
        </w:numPr>
        <w:spacing w:after="80"/>
      </w:pPr>
      <w:r>
        <w:t xml:space="preserve">Google cannot use the sitemap to discover product/category URLs on the aivi.com domain — only the top-level index is valid, but it points to broken shards.</w:t>
      </w:r>
    </w:p>
    <w:p>
      <w:pPr>
        <w:pStyle w:val="ListParagraph"/>
        <w:numPr>
          <w:ilvl w:val="0"/>
          <w:numId w:val="2"/>
        </w:numPr>
        <w:spacing w:after="80"/>
      </w:pPr>
      <w:r>
        <w:t xml:space="preserve">URL discovery on aivi.com is currently limited to organic crawling via internal links, which is significantly slower and less complete than sitemap-driven discovery, especially for deep catalog pages.</w:t>
      </w:r>
    </w:p>
    <w:p>
      <w:pPr>
        <w:pStyle w:val="ListParagraph"/>
        <w:numPr>
          <w:ilvl w:val="0"/>
          <w:numId w:val="2"/>
        </w:numPr>
        <w:spacing w:after="80"/>
      </w:pPr>
      <w:r>
        <w:t xml:space="preserve">Separately (lower severity): robots.txt on aivi.com still references 6thstreet.com sitemap URLs, and the domain-level redirect from 6thstreet.com → aivi.com is currently a 302 (temporary) rather than a 301 (permanent), which is not ideal for consolidating ranking signal onto the new domain during migration.</w:t>
      </w:r>
    </w:p>
    <w:p>
      <w:pPr>
        <w:pStyle w:val="Heading2"/>
        <w:spacing w:after="140" w:before="280"/>
      </w:pPr>
      <w:r>
        <w:t xml:space="preserve">5.5 Fix (owned by DevOps/Infra)</w:t>
      </w:r>
    </w:p>
    <w:p>
      <w:pPr>
        <w:spacing w:after="160"/>
      </w:pPr>
      <w:r>
        <w:t xml:space="preserve">Add a CloudFront cache behavior on the aivi.com distribution for path pattern /media/sitemap/* (or broader /media/*, if other generated assets are similarly affected), pointing to the same backend origin already used by the 6thstreet.com distribution for this path. This is a CDN routing/config change and does not require an application code change in this repository.</w:t>
      </w:r>
    </w:p>
    <w:p>
      <w:pPr>
        <w:spacing w:after="160"/>
      </w:pPr>
      <w:r>
        <w:rPr>
          <w:i/>
          <w:iCs/>
          <w:color w:val="666666"/>
        </w:rPr>
        <w:t xml:space="preserve">Note: per current scope, the domain-difference issue above is being tracked and resolved separately — it is documented here for completeness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2026-08-06T10:14:25.193Z</dcterms:created>
  <dcterms:modified xsi:type="dcterms:W3CDTF">2026-08-06T10:14:25.209Z</dcterms:modified>
</cp:coreProperties>
</file>

<file path=docProps/custom.xml><?xml version="1.0" encoding="utf-8"?>
<Properties xmlns="http://schemas.openxmlformats.org/officeDocument/2006/custom-properties" xmlns:vt="http://schemas.openxmlformats.org/officeDocument/2006/docPropsVTypes"/>
</file>