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0155" w14:textId="6BF84E37" w:rsidR="00C5725A" w:rsidRPr="00C5725A" w:rsidRDefault="00791BA8" w:rsidP="00C5725A">
      <w:pPr>
        <w:pStyle w:val="Heading1"/>
        <w:jc w:val="center"/>
        <w:rPr>
          <w:rFonts w:ascii="Times New Roman" w:eastAsia="Times New Roman" w:hAnsi="Times New Roman" w:cs="Times New Roman"/>
          <w:b/>
          <w:bCs/>
        </w:rPr>
      </w:pPr>
      <w:r w:rsidRPr="003F178F">
        <w:rPr>
          <w:rFonts w:ascii="Times New Roman" w:eastAsia="Times New Roman" w:hAnsi="Times New Roman" w:cs="Times New Roman"/>
          <w:b/>
          <w:bCs/>
        </w:rPr>
        <w:t>Pre-Feasibility Study: Green Ammonia in Ethiopia – Workstream Overview</w:t>
      </w:r>
    </w:p>
    <w:p w14:paraId="53836E4E" w14:textId="7DB84DDF" w:rsidR="00C5725A" w:rsidRDefault="00C5725A" w:rsidP="00791BA8">
      <w:pPr>
        <w:shd w:val="clear" w:color="auto" w:fill="FFFFFF"/>
        <w:spacing w:before="100" w:beforeAutospacing="1" w:after="270" w:line="300" w:lineRule="atLeast"/>
        <w:rPr>
          <w:rFonts w:ascii="Times New Roman" w:eastAsia="Times New Roman" w:hAnsi="Times New Roman" w:cs="Times New Roman"/>
          <w:color w:val="1A1C1E"/>
          <w:sz w:val="21"/>
          <w:szCs w:val="21"/>
        </w:rPr>
      </w:pPr>
      <w:r w:rsidRPr="00C5725A">
        <w:rPr>
          <w:rFonts w:ascii="Times New Roman" w:eastAsia="Times New Roman" w:hAnsi="Times New Roman" w:cs="Times New Roman"/>
          <w:b/>
          <w:bCs/>
          <w:color w:val="1A1C1E"/>
          <w:sz w:val="21"/>
          <w:szCs w:val="21"/>
        </w:rPr>
        <w:t>Summary:</w:t>
      </w:r>
      <w:r>
        <w:rPr>
          <w:rFonts w:ascii="Times New Roman" w:eastAsia="Times New Roman" w:hAnsi="Times New Roman" w:cs="Times New Roman"/>
          <w:color w:val="1A1C1E"/>
          <w:sz w:val="21"/>
          <w:szCs w:val="21"/>
        </w:rPr>
        <w:t xml:space="preserve"> </w:t>
      </w:r>
      <w:r w:rsidRPr="00C5725A">
        <w:rPr>
          <w:rFonts w:ascii="Times New Roman" w:eastAsia="Times New Roman" w:hAnsi="Times New Roman" w:cs="Times New Roman"/>
          <w:color w:val="1A1C1E"/>
          <w:sz w:val="21"/>
          <w:szCs w:val="21"/>
        </w:rPr>
        <w:t>This pre-feasibility study aims to evaluate the viability of establishing small-scale, renewable-powered green ammonia production facilities in Ethiopia. It comprises two core workstreams: a Techno-Economic Analysis (WS1), which will identify geographically suitable areas, model the technical performance and costs of various green hydrogen and ammonia system configurations (including solar, wind, and hydro inputs, and different electrolyzer technologies) to determine the Levelized Cost of Ammonia (LCOA) across approximately 24 scenarios; and a Fertilizer Market Analysis (WS2), which will examine Ethiopia's current fertilizer import supply chain, value chain costs, national and regional demand and price dynamics, and assess the competitiveness and potential impact of locally produced green ammonia. The integrated findings will culminate in a comprehensive report featuring suitability heatmaps and recommendations for potential pilot project locations, scales, and configurations, ultimately informing the decision to proceed with a full feasibility study.</w:t>
      </w:r>
    </w:p>
    <w:p w14:paraId="22906E1B" w14:textId="1EE3C0C0" w:rsidR="002D72A5" w:rsidRPr="002D72A5" w:rsidRDefault="002D72A5" w:rsidP="00791BA8">
      <w:pPr>
        <w:shd w:val="clear" w:color="auto" w:fill="FFFFFF"/>
        <w:spacing w:before="100" w:beforeAutospacing="1" w:after="270" w:line="300" w:lineRule="atLeast"/>
        <w:rPr>
          <w:rFonts w:ascii="Times New Roman" w:eastAsia="Times New Roman" w:hAnsi="Times New Roman" w:cs="Times New Roman"/>
          <w:color w:val="1A1C1E"/>
          <w:sz w:val="21"/>
          <w:szCs w:val="21"/>
        </w:rPr>
      </w:pPr>
      <w:r>
        <w:rPr>
          <w:rFonts w:ascii="Times New Roman" w:eastAsia="Times New Roman" w:hAnsi="Times New Roman" w:cs="Times New Roman"/>
          <w:b/>
          <w:bCs/>
          <w:color w:val="1A1C1E"/>
          <w:sz w:val="21"/>
          <w:szCs w:val="21"/>
        </w:rPr>
        <w:t>Total Cost</w:t>
      </w:r>
      <w:r w:rsidRPr="002D72A5">
        <w:rPr>
          <w:rFonts w:ascii="Times New Roman" w:eastAsia="Times New Roman" w:hAnsi="Times New Roman" w:cs="Times New Roman"/>
          <w:b/>
          <w:bCs/>
          <w:color w:val="1A1C1E"/>
          <w:sz w:val="21"/>
          <w:szCs w:val="21"/>
        </w:rPr>
        <w:t>:</w:t>
      </w:r>
      <w:r w:rsidRPr="002D72A5">
        <w:rPr>
          <w:rFonts w:ascii="Times New Roman" w:eastAsia="Times New Roman" w:hAnsi="Times New Roman" w:cs="Times New Roman"/>
          <w:color w:val="1A1C1E"/>
          <w:sz w:val="21"/>
          <w:szCs w:val="21"/>
        </w:rPr>
        <w:t xml:space="preserve"> $27,500</w:t>
      </w:r>
    </w:p>
    <w:p w14:paraId="22664EBB" w14:textId="7ACF7F9C" w:rsidR="002D72A5" w:rsidRPr="002D72A5" w:rsidRDefault="002D72A5" w:rsidP="00791BA8">
      <w:pPr>
        <w:shd w:val="clear" w:color="auto" w:fill="FFFFFF"/>
        <w:spacing w:before="100" w:beforeAutospacing="1" w:after="270" w:line="300" w:lineRule="atLeast"/>
        <w:rPr>
          <w:rFonts w:ascii="Times New Roman" w:eastAsia="Times New Roman" w:hAnsi="Times New Roman" w:cs="Times New Roman"/>
          <w:color w:val="1A1C1E"/>
          <w:sz w:val="21"/>
          <w:szCs w:val="21"/>
        </w:rPr>
      </w:pPr>
      <w:r>
        <w:rPr>
          <w:rFonts w:ascii="Times New Roman" w:eastAsia="Times New Roman" w:hAnsi="Times New Roman" w:cs="Times New Roman"/>
          <w:b/>
          <w:bCs/>
          <w:color w:val="1A1C1E"/>
          <w:sz w:val="21"/>
          <w:szCs w:val="21"/>
        </w:rPr>
        <w:t>Timeline</w:t>
      </w:r>
      <w:r w:rsidRPr="002D72A5">
        <w:rPr>
          <w:rFonts w:ascii="Times New Roman" w:eastAsia="Times New Roman" w:hAnsi="Times New Roman" w:cs="Times New Roman"/>
          <w:b/>
          <w:bCs/>
          <w:color w:val="1A1C1E"/>
          <w:sz w:val="21"/>
          <w:szCs w:val="21"/>
        </w:rPr>
        <w:t>:</w:t>
      </w:r>
      <w:r w:rsidRPr="002D72A5">
        <w:rPr>
          <w:rFonts w:ascii="Times New Roman" w:eastAsia="Times New Roman" w:hAnsi="Times New Roman" w:cs="Times New Roman"/>
          <w:color w:val="1A1C1E"/>
          <w:sz w:val="21"/>
          <w:szCs w:val="21"/>
        </w:rPr>
        <w:t xml:space="preserve"> 6-9 weeks pending data availability and deliverable structure</w:t>
      </w:r>
    </w:p>
    <w:p w14:paraId="1C6B1B76" w14:textId="576EDF90" w:rsidR="00791BA8" w:rsidRPr="00791BA8" w:rsidRDefault="00791BA8" w:rsidP="00791BA8">
      <w:pPr>
        <w:shd w:val="clear" w:color="auto" w:fill="FFFFFF"/>
        <w:spacing w:before="100" w:beforeAutospacing="1" w:after="270"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b/>
          <w:bCs/>
          <w:color w:val="1A1C1E"/>
          <w:sz w:val="21"/>
          <w:szCs w:val="21"/>
        </w:rPr>
        <w:t>Introduction:</w:t>
      </w:r>
      <w:r w:rsidRPr="00791BA8">
        <w:rPr>
          <w:rFonts w:ascii="Times New Roman" w:eastAsia="Times New Roman" w:hAnsi="Times New Roman" w:cs="Times New Roman"/>
          <w:color w:val="1A1C1E"/>
          <w:sz w:val="21"/>
          <w:szCs w:val="21"/>
        </w:rPr>
        <w:t> This document outlines the core activities and objectives for the Techno-economic Analysis (WS1) and Fertilizer Market Analysis (WS2) for a pre-feasibility study on small-scale, renewable-powered green ammonia production in Ethiopia. The goal is to assess preliminary viability, identify key opportunities and challenges, and inform decisions for potential pilot project development.</w:t>
      </w:r>
    </w:p>
    <w:p w14:paraId="54092FB2" w14:textId="77777777" w:rsidR="00791BA8" w:rsidRPr="003F178F" w:rsidRDefault="00791BA8" w:rsidP="003F178F">
      <w:pPr>
        <w:pStyle w:val="Heading2"/>
        <w:rPr>
          <w:rFonts w:ascii="Times New Roman" w:eastAsia="Times New Roman" w:hAnsi="Times New Roman" w:cs="Times New Roman"/>
          <w:b/>
          <w:bCs/>
        </w:rPr>
      </w:pPr>
      <w:r w:rsidRPr="003F178F">
        <w:rPr>
          <w:rFonts w:ascii="Times New Roman" w:eastAsia="Times New Roman" w:hAnsi="Times New Roman" w:cs="Times New Roman"/>
          <w:b/>
          <w:bCs/>
        </w:rPr>
        <w:t>Workstream 1: Techno-Economic Analysis (TEA)</w:t>
      </w:r>
    </w:p>
    <w:p w14:paraId="7F77917B" w14:textId="77777777" w:rsidR="00791BA8" w:rsidRPr="00791BA8" w:rsidRDefault="00791BA8" w:rsidP="00791BA8">
      <w:pPr>
        <w:shd w:val="clear" w:color="auto" w:fill="FFFFFF"/>
        <w:spacing w:before="100" w:beforeAutospacing="1" w:after="270"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b/>
          <w:bCs/>
          <w:color w:val="1A1C1E"/>
          <w:sz w:val="21"/>
          <w:szCs w:val="21"/>
        </w:rPr>
        <w:t>Objective:</w:t>
      </w:r>
      <w:r w:rsidRPr="00791BA8">
        <w:rPr>
          <w:rFonts w:ascii="Times New Roman" w:eastAsia="Times New Roman" w:hAnsi="Times New Roman" w:cs="Times New Roman"/>
          <w:color w:val="1A1C1E"/>
          <w:sz w:val="21"/>
          <w:szCs w:val="21"/>
        </w:rPr>
        <w:t> To identify geographically suitable areas for green ammonia production in Ethiopia, model the technical performance of renewable energy (RE) powered hydrogen and ammonia systems, and estimate the Levelized Cost of Ammonia (LCOA) under various scenarios.</w:t>
      </w:r>
    </w:p>
    <w:p w14:paraId="29152960" w14:textId="6761F9FF" w:rsidR="00791BA8" w:rsidRDefault="00791BA8" w:rsidP="003F178F">
      <w:pPr>
        <w:pStyle w:val="Heading3"/>
        <w:numPr>
          <w:ilvl w:val="1"/>
          <w:numId w:val="17"/>
        </w:numPr>
        <w:rPr>
          <w:rFonts w:ascii="Times New Roman" w:eastAsia="Times New Roman" w:hAnsi="Times New Roman" w:cs="Times New Roman"/>
          <w:b/>
          <w:bCs/>
        </w:rPr>
      </w:pPr>
      <w:r w:rsidRPr="003F178F">
        <w:rPr>
          <w:rFonts w:ascii="Times New Roman" w:eastAsia="Times New Roman" w:hAnsi="Times New Roman" w:cs="Times New Roman"/>
          <w:b/>
          <w:bCs/>
        </w:rPr>
        <w:t>High-Level Site and Resource Screening</w:t>
      </w:r>
    </w:p>
    <w:p w14:paraId="0CE279A9" w14:textId="77777777" w:rsidR="003F178F" w:rsidRPr="003F178F" w:rsidRDefault="003F178F" w:rsidP="003F178F"/>
    <w:p w14:paraId="2BE10DEF" w14:textId="77777777" w:rsidR="00791BA8" w:rsidRPr="00791BA8" w:rsidRDefault="00791BA8" w:rsidP="00791BA8">
      <w:pPr>
        <w:numPr>
          <w:ilvl w:val="0"/>
          <w:numId w:val="6"/>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b/>
          <w:bCs/>
          <w:color w:val="1A1C1E"/>
          <w:sz w:val="21"/>
          <w:szCs w:val="21"/>
        </w:rPr>
        <w:t>Renewable Energy Resource Assessment:</w:t>
      </w:r>
    </w:p>
    <w:p w14:paraId="73E05D4B" w14:textId="77777777" w:rsidR="00791BA8" w:rsidRPr="00791BA8" w:rsidRDefault="00791BA8" w:rsidP="00791BA8">
      <w:pPr>
        <w:numPr>
          <w:ilvl w:val="1"/>
          <w:numId w:val="6"/>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color w:val="1A1C1E"/>
          <w:sz w:val="21"/>
          <w:szCs w:val="21"/>
        </w:rPr>
        <w:t>Analyze 10-15 years of hourly solar irradiance (GHI/DNI) and wind speed data (0.25° resolution from ERA5/MERRA2/Global Atlases).</w:t>
      </w:r>
    </w:p>
    <w:p w14:paraId="0167ED6D" w14:textId="77777777" w:rsidR="00791BA8" w:rsidRPr="00791BA8" w:rsidRDefault="00791BA8" w:rsidP="00791BA8">
      <w:pPr>
        <w:numPr>
          <w:ilvl w:val="1"/>
          <w:numId w:val="6"/>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color w:val="1A1C1E"/>
          <w:sz w:val="21"/>
          <w:szCs w:val="21"/>
        </w:rPr>
        <w:t xml:space="preserve">Compute P10, P50, P90 energy yield estimates to identify </w:t>
      </w:r>
      <w:proofErr w:type="gramStart"/>
      <w:r w:rsidRPr="00791BA8">
        <w:rPr>
          <w:rFonts w:ascii="Times New Roman" w:eastAsia="Times New Roman" w:hAnsi="Times New Roman" w:cs="Times New Roman"/>
          <w:color w:val="1A1C1E"/>
          <w:sz w:val="21"/>
          <w:szCs w:val="21"/>
        </w:rPr>
        <w:t>high-potential</w:t>
      </w:r>
      <w:proofErr w:type="gramEnd"/>
      <w:r w:rsidRPr="00791BA8">
        <w:rPr>
          <w:rFonts w:ascii="Times New Roman" w:eastAsia="Times New Roman" w:hAnsi="Times New Roman" w:cs="Times New Roman"/>
          <w:color w:val="1A1C1E"/>
          <w:sz w:val="21"/>
          <w:szCs w:val="21"/>
        </w:rPr>
        <w:t xml:space="preserve"> RE zones.</w:t>
      </w:r>
    </w:p>
    <w:p w14:paraId="0B0C26B9" w14:textId="77777777" w:rsidR="00791BA8" w:rsidRPr="00791BA8" w:rsidRDefault="00791BA8" w:rsidP="00791BA8">
      <w:pPr>
        <w:numPr>
          <w:ilvl w:val="0"/>
          <w:numId w:val="6"/>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b/>
          <w:bCs/>
          <w:color w:val="1A1C1E"/>
          <w:sz w:val="21"/>
          <w:szCs w:val="21"/>
        </w:rPr>
        <w:t>Land Suitability &amp; Exclusion Criteria:</w:t>
      </w:r>
    </w:p>
    <w:p w14:paraId="6C363C8E" w14:textId="77777777" w:rsidR="00791BA8" w:rsidRPr="00791BA8" w:rsidRDefault="00791BA8" w:rsidP="00791BA8">
      <w:pPr>
        <w:numPr>
          <w:ilvl w:val="1"/>
          <w:numId w:val="6"/>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color w:val="1A1C1E"/>
          <w:sz w:val="21"/>
          <w:szCs w:val="21"/>
        </w:rPr>
        <w:t>Filter out: Protected areas, high population density, incompatible geographies (steep slopes), active conflict zones.</w:t>
      </w:r>
    </w:p>
    <w:p w14:paraId="77BE0583" w14:textId="548D5A84" w:rsidR="00791BA8" w:rsidRPr="00791BA8" w:rsidRDefault="00791BA8" w:rsidP="00791BA8">
      <w:pPr>
        <w:numPr>
          <w:ilvl w:val="1"/>
          <w:numId w:val="6"/>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color w:val="1A1C1E"/>
          <w:sz w:val="21"/>
          <w:szCs w:val="21"/>
        </w:rPr>
        <w:t>Data: ESA CCI, World Bank, OpenStreetMap (OSM).</w:t>
      </w:r>
    </w:p>
    <w:p w14:paraId="4FE666CE" w14:textId="77777777" w:rsidR="00791BA8" w:rsidRPr="00791BA8" w:rsidRDefault="00791BA8" w:rsidP="00791BA8">
      <w:pPr>
        <w:numPr>
          <w:ilvl w:val="0"/>
          <w:numId w:val="6"/>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b/>
          <w:bCs/>
          <w:color w:val="1A1C1E"/>
          <w:sz w:val="21"/>
          <w:szCs w:val="21"/>
        </w:rPr>
        <w:t>Access to Enabling Infrastructure:</w:t>
      </w:r>
    </w:p>
    <w:p w14:paraId="5502BC2F" w14:textId="02160E13" w:rsidR="00791BA8" w:rsidRPr="006B5337" w:rsidRDefault="00791BA8" w:rsidP="00791BA8">
      <w:pPr>
        <w:numPr>
          <w:ilvl w:val="1"/>
          <w:numId w:val="6"/>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color w:val="1A1C1E"/>
          <w:sz w:val="21"/>
          <w:szCs w:val="21"/>
        </w:rPr>
        <w:lastRenderedPageBreak/>
        <w:t>Map proximity to: Existing electrical transmission lines/substations (EEP, OSM), reliable water sources (rivers, groundwater potential), and road networks (OSM, government data).</w:t>
      </w:r>
    </w:p>
    <w:p w14:paraId="232693D8" w14:textId="1ED28DEB" w:rsidR="00791BA8" w:rsidRPr="00791BA8" w:rsidRDefault="00791BA8" w:rsidP="00791BA8">
      <w:pPr>
        <w:numPr>
          <w:ilvl w:val="1"/>
          <w:numId w:val="6"/>
        </w:numPr>
        <w:shd w:val="clear" w:color="auto" w:fill="FFFFFF"/>
        <w:spacing w:after="45" w:line="300" w:lineRule="atLeast"/>
        <w:rPr>
          <w:rFonts w:ascii="Times New Roman" w:eastAsia="Times New Roman" w:hAnsi="Times New Roman" w:cs="Times New Roman"/>
          <w:color w:val="1A1C1E"/>
          <w:sz w:val="21"/>
          <w:szCs w:val="21"/>
        </w:rPr>
      </w:pPr>
      <w:r w:rsidRPr="006B5337">
        <w:rPr>
          <w:rFonts w:ascii="Times New Roman" w:eastAsia="Times New Roman" w:hAnsi="Times New Roman" w:cs="Times New Roman"/>
          <w:i/>
          <w:iCs/>
          <w:color w:val="1A1C1E"/>
          <w:sz w:val="21"/>
          <w:szCs w:val="21"/>
        </w:rPr>
        <w:t>Pending data availability</w:t>
      </w:r>
    </w:p>
    <w:p w14:paraId="64FA3EA0" w14:textId="446DD44A" w:rsidR="00791BA8" w:rsidRDefault="00791BA8" w:rsidP="00791BA8">
      <w:pPr>
        <w:numPr>
          <w:ilvl w:val="0"/>
          <w:numId w:val="6"/>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b/>
          <w:bCs/>
          <w:color w:val="1A1C1E"/>
          <w:sz w:val="21"/>
          <w:szCs w:val="21"/>
        </w:rPr>
        <w:t>Output:</w:t>
      </w:r>
      <w:r w:rsidRPr="00791BA8">
        <w:rPr>
          <w:rFonts w:ascii="Times New Roman" w:eastAsia="Times New Roman" w:hAnsi="Times New Roman" w:cs="Times New Roman"/>
          <w:color w:val="1A1C1E"/>
          <w:sz w:val="21"/>
          <w:szCs w:val="21"/>
        </w:rPr>
        <w:t xml:space="preserve"> National-level suitability map; selection of </w:t>
      </w:r>
      <w:r w:rsidRPr="006B5337">
        <w:rPr>
          <w:rFonts w:ascii="Times New Roman" w:eastAsia="Times New Roman" w:hAnsi="Times New Roman" w:cs="Times New Roman"/>
          <w:color w:val="1A1C1E"/>
          <w:sz w:val="21"/>
          <w:szCs w:val="21"/>
        </w:rPr>
        <w:t>x</w:t>
      </w:r>
      <w:r w:rsidRPr="00791BA8">
        <w:rPr>
          <w:rFonts w:ascii="Times New Roman" w:eastAsia="Times New Roman" w:hAnsi="Times New Roman" w:cs="Times New Roman"/>
          <w:color w:val="1A1C1E"/>
          <w:sz w:val="21"/>
          <w:szCs w:val="21"/>
        </w:rPr>
        <w:t xml:space="preserve"> </w:t>
      </w:r>
      <w:r w:rsidRPr="006B5337">
        <w:rPr>
          <w:rFonts w:ascii="Times New Roman" w:eastAsia="Times New Roman" w:hAnsi="Times New Roman" w:cs="Times New Roman"/>
          <w:color w:val="1A1C1E"/>
          <w:sz w:val="21"/>
          <w:szCs w:val="21"/>
        </w:rPr>
        <w:t>zones/regions</w:t>
      </w:r>
      <w:r w:rsidRPr="00791BA8">
        <w:rPr>
          <w:rFonts w:ascii="Times New Roman" w:eastAsia="Times New Roman" w:hAnsi="Times New Roman" w:cs="Times New Roman"/>
          <w:color w:val="1A1C1E"/>
          <w:sz w:val="21"/>
          <w:szCs w:val="21"/>
        </w:rPr>
        <w:t xml:space="preserve"> for detailed </w:t>
      </w:r>
      <w:r w:rsidRPr="006B5337">
        <w:rPr>
          <w:rFonts w:ascii="Times New Roman" w:eastAsia="Times New Roman" w:hAnsi="Times New Roman" w:cs="Times New Roman"/>
          <w:color w:val="1A1C1E"/>
          <w:sz w:val="21"/>
          <w:szCs w:val="21"/>
        </w:rPr>
        <w:t>techno-economic scenario analysis</w:t>
      </w:r>
      <w:r w:rsidRPr="00791BA8">
        <w:rPr>
          <w:rFonts w:ascii="Times New Roman" w:eastAsia="Times New Roman" w:hAnsi="Times New Roman" w:cs="Times New Roman"/>
          <w:color w:val="1A1C1E"/>
          <w:sz w:val="21"/>
          <w:szCs w:val="21"/>
        </w:rPr>
        <w:t>.</w:t>
      </w:r>
    </w:p>
    <w:p w14:paraId="4475F3F9" w14:textId="77777777" w:rsidR="003F178F" w:rsidRPr="00791BA8" w:rsidRDefault="003F178F" w:rsidP="003F178F">
      <w:pPr>
        <w:shd w:val="clear" w:color="auto" w:fill="FFFFFF"/>
        <w:spacing w:after="45" w:line="300" w:lineRule="atLeast"/>
        <w:ind w:left="720"/>
        <w:rPr>
          <w:rFonts w:ascii="Times New Roman" w:eastAsia="Times New Roman" w:hAnsi="Times New Roman" w:cs="Times New Roman"/>
          <w:color w:val="1A1C1E"/>
          <w:sz w:val="21"/>
          <w:szCs w:val="21"/>
        </w:rPr>
      </w:pPr>
    </w:p>
    <w:p w14:paraId="6F415B03" w14:textId="5A0B3E70" w:rsidR="00791BA8" w:rsidRDefault="00791BA8" w:rsidP="003F178F">
      <w:pPr>
        <w:pStyle w:val="Heading3"/>
        <w:rPr>
          <w:rFonts w:ascii="Times New Roman" w:eastAsia="Times New Roman" w:hAnsi="Times New Roman" w:cs="Times New Roman"/>
          <w:b/>
          <w:bCs/>
        </w:rPr>
      </w:pPr>
      <w:r w:rsidRPr="003F178F">
        <w:rPr>
          <w:rFonts w:ascii="Times New Roman" w:eastAsia="Times New Roman" w:hAnsi="Times New Roman" w:cs="Times New Roman"/>
          <w:b/>
          <w:bCs/>
        </w:rPr>
        <w:t>1.2 Technology Configuration, Sizing, and Performance Modeling</w:t>
      </w:r>
    </w:p>
    <w:p w14:paraId="7C673EB4" w14:textId="77777777" w:rsidR="003F178F" w:rsidRPr="003F178F" w:rsidRDefault="003F178F" w:rsidP="003F178F"/>
    <w:p w14:paraId="394D6898" w14:textId="77777777" w:rsidR="00791BA8" w:rsidRPr="00791BA8" w:rsidRDefault="00791BA8" w:rsidP="00791BA8">
      <w:pPr>
        <w:numPr>
          <w:ilvl w:val="0"/>
          <w:numId w:val="7"/>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b/>
          <w:bCs/>
          <w:color w:val="1A1C1E"/>
          <w:sz w:val="21"/>
          <w:szCs w:val="21"/>
        </w:rPr>
        <w:t>Renewable Energy Systems:</w:t>
      </w:r>
    </w:p>
    <w:p w14:paraId="69B25546" w14:textId="77777777" w:rsidR="00791BA8" w:rsidRPr="00791BA8" w:rsidRDefault="00791BA8" w:rsidP="00791BA8">
      <w:pPr>
        <w:numPr>
          <w:ilvl w:val="1"/>
          <w:numId w:val="7"/>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color w:val="1A1C1E"/>
          <w:sz w:val="21"/>
          <w:szCs w:val="21"/>
        </w:rPr>
        <w:t>Model hourly generation for Solar PV, Onshore Wind, and Hybrid (</w:t>
      </w:r>
      <w:proofErr w:type="spellStart"/>
      <w:r w:rsidRPr="00791BA8">
        <w:rPr>
          <w:rFonts w:ascii="Times New Roman" w:eastAsia="Times New Roman" w:hAnsi="Times New Roman" w:cs="Times New Roman"/>
          <w:color w:val="1A1C1E"/>
          <w:sz w:val="21"/>
          <w:szCs w:val="21"/>
        </w:rPr>
        <w:t>Solar+Wind</w:t>
      </w:r>
      <w:proofErr w:type="spellEnd"/>
      <w:r w:rsidRPr="00791BA8">
        <w:rPr>
          <w:rFonts w:ascii="Times New Roman" w:eastAsia="Times New Roman" w:hAnsi="Times New Roman" w:cs="Times New Roman"/>
          <w:color w:val="1A1C1E"/>
          <w:sz w:val="21"/>
          <w:szCs w:val="21"/>
        </w:rPr>
        <w:t>) systems in archetypal zones using P50 resource data.</w:t>
      </w:r>
    </w:p>
    <w:p w14:paraId="797E5843" w14:textId="77777777" w:rsidR="00791BA8" w:rsidRPr="00791BA8" w:rsidRDefault="00791BA8" w:rsidP="00791BA8">
      <w:pPr>
        <w:numPr>
          <w:ilvl w:val="1"/>
          <w:numId w:val="7"/>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color w:val="1A1C1E"/>
          <w:sz w:val="21"/>
          <w:szCs w:val="21"/>
        </w:rPr>
        <w:t>For Hydropower, model a Power Purchase Agreement (PPA) scenario with EEP: assume PPA price, capacity factor, and variability.</w:t>
      </w:r>
    </w:p>
    <w:p w14:paraId="7F0CE983" w14:textId="2B41515F" w:rsidR="00791BA8" w:rsidRPr="00791BA8" w:rsidRDefault="00791BA8" w:rsidP="00791BA8">
      <w:pPr>
        <w:numPr>
          <w:ilvl w:val="1"/>
          <w:numId w:val="7"/>
        </w:numPr>
        <w:shd w:val="clear" w:color="auto" w:fill="FFFFFF"/>
        <w:spacing w:after="45" w:line="300" w:lineRule="atLeast"/>
        <w:rPr>
          <w:rFonts w:ascii="Times New Roman" w:eastAsia="Times New Roman" w:hAnsi="Times New Roman" w:cs="Times New Roman"/>
          <w:color w:val="1A1C1E"/>
          <w:sz w:val="21"/>
          <w:szCs w:val="21"/>
        </w:rPr>
      </w:pPr>
      <w:r w:rsidRPr="006B5337">
        <w:rPr>
          <w:rFonts w:ascii="Times New Roman" w:eastAsia="Times New Roman" w:hAnsi="Times New Roman" w:cs="Times New Roman"/>
          <w:i/>
          <w:iCs/>
          <w:color w:val="1A1C1E"/>
          <w:sz w:val="21"/>
          <w:szCs w:val="21"/>
        </w:rPr>
        <w:t xml:space="preserve">Potentially </w:t>
      </w:r>
      <w:r w:rsidRPr="006B5337">
        <w:rPr>
          <w:rFonts w:ascii="Times New Roman" w:eastAsia="Times New Roman" w:hAnsi="Times New Roman" w:cs="Times New Roman"/>
          <w:color w:val="1A1C1E"/>
          <w:sz w:val="21"/>
          <w:szCs w:val="21"/>
        </w:rPr>
        <w:t>c</w:t>
      </w:r>
      <w:r w:rsidRPr="00791BA8">
        <w:rPr>
          <w:rFonts w:ascii="Times New Roman" w:eastAsia="Times New Roman" w:hAnsi="Times New Roman" w:cs="Times New Roman"/>
          <w:color w:val="1A1C1E"/>
          <w:sz w:val="21"/>
          <w:szCs w:val="21"/>
        </w:rPr>
        <w:t>onsider short-duration energy storage (BESS/H2) needs for intermittent RE.</w:t>
      </w:r>
    </w:p>
    <w:p w14:paraId="2D674B70" w14:textId="77777777" w:rsidR="00791BA8" w:rsidRPr="00791BA8" w:rsidRDefault="00791BA8" w:rsidP="00791BA8">
      <w:pPr>
        <w:numPr>
          <w:ilvl w:val="0"/>
          <w:numId w:val="7"/>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b/>
          <w:bCs/>
          <w:color w:val="1A1C1E"/>
          <w:sz w:val="21"/>
          <w:szCs w:val="21"/>
        </w:rPr>
        <w:t>Hydrogen Production (Electrolysis):</w:t>
      </w:r>
    </w:p>
    <w:p w14:paraId="6EC5E379" w14:textId="23668516" w:rsidR="00791BA8" w:rsidRPr="006B5337" w:rsidRDefault="00791BA8" w:rsidP="00791BA8">
      <w:pPr>
        <w:numPr>
          <w:ilvl w:val="1"/>
          <w:numId w:val="7"/>
        </w:numPr>
        <w:shd w:val="clear" w:color="auto" w:fill="FFFFFF"/>
        <w:spacing w:after="45" w:line="300" w:lineRule="atLeast"/>
        <w:rPr>
          <w:rFonts w:ascii="Times New Roman" w:eastAsia="Times New Roman" w:hAnsi="Times New Roman" w:cs="Times New Roman"/>
          <w:color w:val="1A1C1E"/>
          <w:sz w:val="21"/>
          <w:szCs w:val="21"/>
        </w:rPr>
      </w:pPr>
      <w:r w:rsidRPr="006B5337">
        <w:rPr>
          <w:rFonts w:ascii="Times New Roman" w:eastAsia="Times New Roman" w:hAnsi="Times New Roman" w:cs="Times New Roman"/>
          <w:color w:val="1A1C1E"/>
          <w:sz w:val="21"/>
          <w:szCs w:val="21"/>
        </w:rPr>
        <w:t>SOEC based</w:t>
      </w:r>
      <w:r w:rsidRPr="00791BA8">
        <w:rPr>
          <w:rFonts w:ascii="Times New Roman" w:eastAsia="Times New Roman" w:hAnsi="Times New Roman" w:cs="Times New Roman"/>
          <w:color w:val="1A1C1E"/>
          <w:sz w:val="21"/>
          <w:szCs w:val="21"/>
        </w:rPr>
        <w:t xml:space="preserve"> on partner specifications</w:t>
      </w:r>
      <w:r w:rsidRPr="006B5337">
        <w:rPr>
          <w:rFonts w:ascii="Times New Roman" w:eastAsia="Times New Roman" w:hAnsi="Times New Roman" w:cs="Times New Roman"/>
          <w:color w:val="1A1C1E"/>
          <w:sz w:val="21"/>
          <w:szCs w:val="21"/>
        </w:rPr>
        <w:t xml:space="preserve"> (kWh/kg H2, etc.)</w:t>
      </w:r>
    </w:p>
    <w:p w14:paraId="2F0C72A3" w14:textId="753D8F07" w:rsidR="00791BA8" w:rsidRPr="00791BA8" w:rsidRDefault="00791BA8" w:rsidP="00791BA8">
      <w:pPr>
        <w:numPr>
          <w:ilvl w:val="1"/>
          <w:numId w:val="7"/>
        </w:numPr>
        <w:shd w:val="clear" w:color="auto" w:fill="FFFFFF"/>
        <w:spacing w:after="45" w:line="300" w:lineRule="atLeast"/>
        <w:rPr>
          <w:rFonts w:ascii="Times New Roman" w:eastAsia="Times New Roman" w:hAnsi="Times New Roman" w:cs="Times New Roman"/>
          <w:color w:val="1A1C1E"/>
          <w:sz w:val="21"/>
          <w:szCs w:val="21"/>
        </w:rPr>
      </w:pPr>
      <w:r w:rsidRPr="006B5337">
        <w:rPr>
          <w:rFonts w:ascii="Times New Roman" w:eastAsia="Times New Roman" w:hAnsi="Times New Roman" w:cs="Times New Roman"/>
          <w:color w:val="1A1C1E"/>
          <w:sz w:val="21"/>
          <w:szCs w:val="21"/>
        </w:rPr>
        <w:t>Sensitivities can be run on other technologies such as PEM and alkaline electrolyzers.</w:t>
      </w:r>
    </w:p>
    <w:p w14:paraId="38B4865A" w14:textId="77777777" w:rsidR="00791BA8" w:rsidRPr="00791BA8" w:rsidRDefault="00791BA8" w:rsidP="00791BA8">
      <w:pPr>
        <w:numPr>
          <w:ilvl w:val="1"/>
          <w:numId w:val="7"/>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color w:val="1A1C1E"/>
          <w:sz w:val="21"/>
          <w:szCs w:val="21"/>
        </w:rPr>
        <w:t>Key inputs: Efficiency (kWh/kg H2), water consumption, CAPEX, OPEX, stack life, ramp rates.</w:t>
      </w:r>
    </w:p>
    <w:p w14:paraId="00930C08" w14:textId="77777777" w:rsidR="00791BA8" w:rsidRPr="00791BA8" w:rsidRDefault="00791BA8" w:rsidP="00791BA8">
      <w:pPr>
        <w:numPr>
          <w:ilvl w:val="0"/>
          <w:numId w:val="7"/>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b/>
          <w:bCs/>
          <w:color w:val="1A1C1E"/>
          <w:sz w:val="21"/>
          <w:szCs w:val="21"/>
        </w:rPr>
        <w:t>Ammonia Synthesis (Modular Haber-Bosch):</w:t>
      </w:r>
    </w:p>
    <w:p w14:paraId="24414083" w14:textId="77777777" w:rsidR="00791BA8" w:rsidRPr="00791BA8" w:rsidRDefault="00791BA8" w:rsidP="00791BA8">
      <w:pPr>
        <w:numPr>
          <w:ilvl w:val="1"/>
          <w:numId w:val="7"/>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color w:val="1A1C1E"/>
          <w:sz w:val="21"/>
          <w:szCs w:val="21"/>
        </w:rPr>
        <w:t xml:space="preserve">Based on </w:t>
      </w:r>
      <w:proofErr w:type="spellStart"/>
      <w:r w:rsidRPr="00791BA8">
        <w:rPr>
          <w:rFonts w:ascii="Times New Roman" w:eastAsia="Times New Roman" w:hAnsi="Times New Roman" w:cs="Times New Roman"/>
          <w:color w:val="1A1C1E"/>
          <w:sz w:val="21"/>
          <w:szCs w:val="21"/>
        </w:rPr>
        <w:t>AmmPower</w:t>
      </w:r>
      <w:proofErr w:type="spellEnd"/>
      <w:r w:rsidRPr="00791BA8">
        <w:rPr>
          <w:rFonts w:ascii="Times New Roman" w:eastAsia="Times New Roman" w:hAnsi="Times New Roman" w:cs="Times New Roman"/>
          <w:color w:val="1A1C1E"/>
          <w:sz w:val="21"/>
          <w:szCs w:val="21"/>
        </w:rPr>
        <w:t xml:space="preserve"> partner specifications.</w:t>
      </w:r>
    </w:p>
    <w:p w14:paraId="76549E81" w14:textId="77777777" w:rsidR="00791BA8" w:rsidRPr="00791BA8" w:rsidRDefault="00791BA8" w:rsidP="00791BA8">
      <w:pPr>
        <w:numPr>
          <w:ilvl w:val="1"/>
          <w:numId w:val="7"/>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color w:val="1A1C1E"/>
          <w:sz w:val="21"/>
          <w:szCs w:val="21"/>
        </w:rPr>
        <w:t>Key inputs: Energy consumption (kWh/</w:t>
      </w:r>
      <w:proofErr w:type="spellStart"/>
      <w:r w:rsidRPr="00791BA8">
        <w:rPr>
          <w:rFonts w:ascii="Times New Roman" w:eastAsia="Times New Roman" w:hAnsi="Times New Roman" w:cs="Times New Roman"/>
          <w:color w:val="1A1C1E"/>
          <w:sz w:val="21"/>
          <w:szCs w:val="21"/>
        </w:rPr>
        <w:t>tonne</w:t>
      </w:r>
      <w:proofErr w:type="spellEnd"/>
      <w:r w:rsidRPr="00791BA8">
        <w:rPr>
          <w:rFonts w:ascii="Times New Roman" w:eastAsia="Times New Roman" w:hAnsi="Times New Roman" w:cs="Times New Roman"/>
          <w:color w:val="1A1C1E"/>
          <w:sz w:val="21"/>
          <w:szCs w:val="21"/>
        </w:rPr>
        <w:t xml:space="preserve"> NH3), N2 source (PSA from air), CAPEX, OPEX, catalyst life.</w:t>
      </w:r>
    </w:p>
    <w:p w14:paraId="2751BA0E" w14:textId="77777777" w:rsidR="00791BA8" w:rsidRPr="00791BA8" w:rsidRDefault="00791BA8" w:rsidP="00791BA8">
      <w:pPr>
        <w:numPr>
          <w:ilvl w:val="0"/>
          <w:numId w:val="7"/>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b/>
          <w:bCs/>
          <w:color w:val="1A1C1E"/>
          <w:sz w:val="21"/>
          <w:szCs w:val="21"/>
        </w:rPr>
        <w:t>Plant Sizing:</w:t>
      </w:r>
      <w:r w:rsidRPr="00791BA8">
        <w:rPr>
          <w:rFonts w:ascii="Times New Roman" w:eastAsia="Times New Roman" w:hAnsi="Times New Roman" w:cs="Times New Roman"/>
          <w:color w:val="1A1C1E"/>
          <w:sz w:val="21"/>
          <w:szCs w:val="21"/>
        </w:rPr>
        <w:t xml:space="preserve"> Analyze 2-3 small-scale capacities (e.g., 1-20 </w:t>
      </w:r>
      <w:proofErr w:type="spellStart"/>
      <w:r w:rsidRPr="00791BA8">
        <w:rPr>
          <w:rFonts w:ascii="Times New Roman" w:eastAsia="Times New Roman" w:hAnsi="Times New Roman" w:cs="Times New Roman"/>
          <w:color w:val="1A1C1E"/>
          <w:sz w:val="21"/>
          <w:szCs w:val="21"/>
        </w:rPr>
        <w:t>tonnes</w:t>
      </w:r>
      <w:proofErr w:type="spellEnd"/>
      <w:r w:rsidRPr="00791BA8">
        <w:rPr>
          <w:rFonts w:ascii="Times New Roman" w:eastAsia="Times New Roman" w:hAnsi="Times New Roman" w:cs="Times New Roman"/>
          <w:color w:val="1A1C1E"/>
          <w:sz w:val="21"/>
          <w:szCs w:val="21"/>
        </w:rPr>
        <w:t xml:space="preserve"> NH3/day).</w:t>
      </w:r>
    </w:p>
    <w:p w14:paraId="055B7EA3" w14:textId="55A5018B" w:rsidR="00791BA8" w:rsidRPr="006B5337" w:rsidRDefault="00791BA8" w:rsidP="00791BA8">
      <w:pPr>
        <w:numPr>
          <w:ilvl w:val="0"/>
          <w:numId w:val="7"/>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b/>
          <w:bCs/>
          <w:color w:val="1A1C1E"/>
          <w:sz w:val="21"/>
          <w:szCs w:val="21"/>
        </w:rPr>
        <w:t>Balance of Plant (</w:t>
      </w:r>
      <w:proofErr w:type="spellStart"/>
      <w:r w:rsidRPr="00791BA8">
        <w:rPr>
          <w:rFonts w:ascii="Times New Roman" w:eastAsia="Times New Roman" w:hAnsi="Times New Roman" w:cs="Times New Roman"/>
          <w:b/>
          <w:bCs/>
          <w:color w:val="1A1C1E"/>
          <w:sz w:val="21"/>
          <w:szCs w:val="21"/>
        </w:rPr>
        <w:t>BoP</w:t>
      </w:r>
      <w:proofErr w:type="spellEnd"/>
      <w:r w:rsidRPr="00791BA8">
        <w:rPr>
          <w:rFonts w:ascii="Times New Roman" w:eastAsia="Times New Roman" w:hAnsi="Times New Roman" w:cs="Times New Roman"/>
          <w:b/>
          <w:bCs/>
          <w:color w:val="1A1C1E"/>
          <w:sz w:val="21"/>
          <w:szCs w:val="21"/>
        </w:rPr>
        <w:t>):</w:t>
      </w:r>
      <w:r w:rsidRPr="00791BA8">
        <w:rPr>
          <w:rFonts w:ascii="Times New Roman" w:eastAsia="Times New Roman" w:hAnsi="Times New Roman" w:cs="Times New Roman"/>
          <w:color w:val="1A1C1E"/>
          <w:sz w:val="21"/>
          <w:szCs w:val="21"/>
        </w:rPr>
        <w:t> High-level estimates for water purification, H2/NH3 storage, site infrastructure.</w:t>
      </w:r>
    </w:p>
    <w:p w14:paraId="36391108" w14:textId="3BC7E00D" w:rsidR="00791BA8" w:rsidRPr="00791BA8" w:rsidRDefault="00791BA8" w:rsidP="00791BA8">
      <w:pPr>
        <w:numPr>
          <w:ilvl w:val="0"/>
          <w:numId w:val="7"/>
        </w:numPr>
        <w:shd w:val="clear" w:color="auto" w:fill="FFFFFF"/>
        <w:spacing w:after="45" w:line="300" w:lineRule="atLeast"/>
        <w:rPr>
          <w:rFonts w:ascii="Times New Roman" w:eastAsia="Times New Roman" w:hAnsi="Times New Roman" w:cs="Times New Roman"/>
          <w:color w:val="1A1C1E"/>
          <w:sz w:val="21"/>
          <w:szCs w:val="21"/>
        </w:rPr>
      </w:pPr>
      <w:r w:rsidRPr="006B5337">
        <w:rPr>
          <w:rFonts w:ascii="Times New Roman" w:eastAsia="Times New Roman" w:hAnsi="Times New Roman" w:cs="Times New Roman"/>
          <w:b/>
          <w:bCs/>
          <w:color w:val="1A1C1E"/>
          <w:sz w:val="21"/>
          <w:szCs w:val="21"/>
        </w:rPr>
        <w:t xml:space="preserve">Key Scenarios: </w:t>
      </w:r>
      <w:r w:rsidRPr="006B5337">
        <w:rPr>
          <w:rFonts w:ascii="Times New Roman" w:eastAsia="Times New Roman" w:hAnsi="Times New Roman" w:cs="Times New Roman"/>
          <w:color w:val="1A1C1E"/>
          <w:sz w:val="21"/>
          <w:szCs w:val="21"/>
        </w:rPr>
        <w:t>Model 3 - 4 different renewable energy input types and potentially 1 - 2 different electrolyzer types across 1 - 3 different plant sizes. This leads up to a total of ~24 scenarios.</w:t>
      </w:r>
    </w:p>
    <w:p w14:paraId="7363F72C" w14:textId="77777777" w:rsidR="003F178F" w:rsidRDefault="003F178F" w:rsidP="003F178F">
      <w:pPr>
        <w:pStyle w:val="Heading3"/>
        <w:rPr>
          <w:rFonts w:eastAsia="Times New Roman"/>
        </w:rPr>
      </w:pPr>
    </w:p>
    <w:p w14:paraId="2215D4A3" w14:textId="0D5B1DA2" w:rsidR="00791BA8" w:rsidRDefault="00791BA8" w:rsidP="003F178F">
      <w:pPr>
        <w:pStyle w:val="Heading3"/>
        <w:rPr>
          <w:rFonts w:ascii="Times New Roman" w:eastAsia="Times New Roman" w:hAnsi="Times New Roman" w:cs="Times New Roman"/>
          <w:b/>
          <w:bCs/>
        </w:rPr>
      </w:pPr>
      <w:r w:rsidRPr="003F178F">
        <w:rPr>
          <w:rFonts w:ascii="Times New Roman" w:eastAsia="Times New Roman" w:hAnsi="Times New Roman" w:cs="Times New Roman"/>
          <w:b/>
          <w:bCs/>
        </w:rPr>
        <w:t>1.3 Cost Estimation (CAPEX &amp; OPEX)</w:t>
      </w:r>
    </w:p>
    <w:p w14:paraId="7B8C8D07" w14:textId="77777777" w:rsidR="003F178F" w:rsidRPr="003F178F" w:rsidRDefault="003F178F" w:rsidP="003F178F"/>
    <w:p w14:paraId="3A8B2524" w14:textId="1F374804" w:rsidR="00791BA8" w:rsidRPr="00791BA8" w:rsidRDefault="00791BA8" w:rsidP="00791BA8">
      <w:pPr>
        <w:numPr>
          <w:ilvl w:val="0"/>
          <w:numId w:val="8"/>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b/>
          <w:bCs/>
          <w:color w:val="1A1C1E"/>
          <w:sz w:val="21"/>
          <w:szCs w:val="21"/>
        </w:rPr>
        <w:t>CAPEX:</w:t>
      </w:r>
      <w:r w:rsidRPr="00791BA8">
        <w:rPr>
          <w:rFonts w:ascii="Times New Roman" w:eastAsia="Times New Roman" w:hAnsi="Times New Roman" w:cs="Times New Roman"/>
          <w:color w:val="1A1C1E"/>
          <w:sz w:val="21"/>
          <w:szCs w:val="21"/>
        </w:rPr>
        <w:t xml:space="preserve"> Partner data for </w:t>
      </w:r>
      <w:r w:rsidR="00D42D04" w:rsidRPr="006B5337">
        <w:rPr>
          <w:rFonts w:ascii="Times New Roman" w:eastAsia="Times New Roman" w:hAnsi="Times New Roman" w:cs="Times New Roman"/>
          <w:color w:val="1A1C1E"/>
          <w:sz w:val="21"/>
          <w:szCs w:val="21"/>
        </w:rPr>
        <w:t xml:space="preserve">Electrolyzer, </w:t>
      </w:r>
      <w:proofErr w:type="spellStart"/>
      <w:r w:rsidR="00D42D04" w:rsidRPr="006B5337">
        <w:rPr>
          <w:rFonts w:ascii="Times New Roman" w:eastAsia="Times New Roman" w:hAnsi="Times New Roman" w:cs="Times New Roman"/>
          <w:color w:val="1A1C1E"/>
          <w:sz w:val="21"/>
          <w:szCs w:val="21"/>
        </w:rPr>
        <w:t>BoP</w:t>
      </w:r>
      <w:proofErr w:type="spellEnd"/>
      <w:r w:rsidR="00D42D04" w:rsidRPr="006B5337">
        <w:rPr>
          <w:rFonts w:ascii="Times New Roman" w:eastAsia="Times New Roman" w:hAnsi="Times New Roman" w:cs="Times New Roman"/>
          <w:color w:val="1A1C1E"/>
          <w:sz w:val="21"/>
          <w:szCs w:val="21"/>
        </w:rPr>
        <w:t>, NH3 synthesis loop,</w:t>
      </w:r>
      <w:r w:rsidRPr="00791BA8">
        <w:rPr>
          <w:rFonts w:ascii="Times New Roman" w:eastAsia="Times New Roman" w:hAnsi="Times New Roman" w:cs="Times New Roman"/>
          <w:color w:val="1A1C1E"/>
          <w:sz w:val="21"/>
          <w:szCs w:val="21"/>
        </w:rPr>
        <w:t xml:space="preserve"> benchmarks for RE. Include </w:t>
      </w:r>
      <w:r w:rsidR="00D42D04" w:rsidRPr="006B5337">
        <w:rPr>
          <w:rFonts w:ascii="Times New Roman" w:eastAsia="Times New Roman" w:hAnsi="Times New Roman" w:cs="Times New Roman"/>
          <w:color w:val="1A1C1E"/>
          <w:sz w:val="21"/>
          <w:szCs w:val="21"/>
        </w:rPr>
        <w:t xml:space="preserve">estimates </w:t>
      </w:r>
      <w:r w:rsidR="00D42D04" w:rsidRPr="006B5337">
        <w:rPr>
          <w:rFonts w:ascii="Times New Roman" w:hAnsi="Times New Roman" w:cs="Times New Roman"/>
        </w:rPr>
        <w:t>for</w:t>
      </w:r>
      <w:r w:rsidR="009103BA">
        <w:rPr>
          <w:rFonts w:ascii="Times New Roman" w:hAnsi="Times New Roman" w:cs="Times New Roman"/>
        </w:rPr>
        <w:t xml:space="preserve"> i</w:t>
      </w:r>
      <w:r w:rsidRPr="00791BA8">
        <w:rPr>
          <w:rFonts w:ascii="Times New Roman" w:hAnsi="Times New Roman" w:cs="Times New Roman"/>
        </w:rPr>
        <w:t>nstallation</w:t>
      </w:r>
      <w:r w:rsidRPr="00791BA8">
        <w:rPr>
          <w:rFonts w:ascii="Times New Roman" w:eastAsia="Times New Roman" w:hAnsi="Times New Roman" w:cs="Times New Roman"/>
          <w:color w:val="1A1C1E"/>
          <w:sz w:val="21"/>
          <w:szCs w:val="21"/>
        </w:rPr>
        <w:t xml:space="preserve">, logistics, </w:t>
      </w:r>
      <w:r w:rsidR="00D42D04" w:rsidRPr="006B5337">
        <w:rPr>
          <w:rFonts w:ascii="Times New Roman" w:eastAsia="Times New Roman" w:hAnsi="Times New Roman" w:cs="Times New Roman"/>
          <w:color w:val="1A1C1E"/>
          <w:sz w:val="21"/>
          <w:szCs w:val="21"/>
        </w:rPr>
        <w:t>etc</w:t>
      </w:r>
      <w:r w:rsidRPr="00791BA8">
        <w:rPr>
          <w:rFonts w:ascii="Times New Roman" w:eastAsia="Times New Roman" w:hAnsi="Times New Roman" w:cs="Times New Roman"/>
          <w:color w:val="1A1C1E"/>
          <w:sz w:val="21"/>
          <w:szCs w:val="21"/>
        </w:rPr>
        <w:t>.</w:t>
      </w:r>
    </w:p>
    <w:p w14:paraId="071CAB33" w14:textId="77777777" w:rsidR="00791BA8" w:rsidRPr="00791BA8" w:rsidRDefault="00791BA8" w:rsidP="00791BA8">
      <w:pPr>
        <w:numPr>
          <w:ilvl w:val="0"/>
          <w:numId w:val="8"/>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b/>
          <w:bCs/>
          <w:color w:val="1A1C1E"/>
          <w:sz w:val="21"/>
          <w:szCs w:val="21"/>
        </w:rPr>
        <w:t>OPEX:</w:t>
      </w:r>
      <w:r w:rsidRPr="00791BA8">
        <w:rPr>
          <w:rFonts w:ascii="Times New Roman" w:eastAsia="Times New Roman" w:hAnsi="Times New Roman" w:cs="Times New Roman"/>
          <w:color w:val="1A1C1E"/>
          <w:sz w:val="21"/>
          <w:szCs w:val="21"/>
        </w:rPr>
        <w:t> RE O&amp;M, electrolyzer/ammonia unit maintenance, stack/catalyst replacement, water, local labor, PPA costs (for hydro).</w:t>
      </w:r>
    </w:p>
    <w:p w14:paraId="06DEB622" w14:textId="77777777" w:rsidR="003F178F" w:rsidRDefault="003F178F" w:rsidP="003F178F">
      <w:pPr>
        <w:pStyle w:val="Heading3"/>
        <w:rPr>
          <w:rFonts w:eastAsia="Times New Roman"/>
        </w:rPr>
      </w:pPr>
    </w:p>
    <w:p w14:paraId="71E08430" w14:textId="1D627496" w:rsidR="00791BA8" w:rsidRDefault="00791BA8" w:rsidP="003F178F">
      <w:pPr>
        <w:pStyle w:val="Heading3"/>
        <w:rPr>
          <w:rFonts w:ascii="Times New Roman" w:eastAsia="Times New Roman" w:hAnsi="Times New Roman" w:cs="Times New Roman"/>
          <w:b/>
          <w:bCs/>
        </w:rPr>
      </w:pPr>
      <w:r w:rsidRPr="003F178F">
        <w:rPr>
          <w:rFonts w:ascii="Times New Roman" w:eastAsia="Times New Roman" w:hAnsi="Times New Roman" w:cs="Times New Roman"/>
          <w:b/>
          <w:bCs/>
        </w:rPr>
        <w:t>1.4 Financial Modeling &amp; Key Metric Calculation</w:t>
      </w:r>
    </w:p>
    <w:p w14:paraId="651F6CA4" w14:textId="77777777" w:rsidR="003F178F" w:rsidRPr="003F178F" w:rsidRDefault="003F178F" w:rsidP="003F178F"/>
    <w:p w14:paraId="4D3C1C46" w14:textId="77777777" w:rsidR="00791BA8" w:rsidRPr="00791BA8" w:rsidRDefault="00791BA8" w:rsidP="00791BA8">
      <w:pPr>
        <w:numPr>
          <w:ilvl w:val="0"/>
          <w:numId w:val="9"/>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color w:val="1A1C1E"/>
          <w:sz w:val="21"/>
          <w:szCs w:val="21"/>
        </w:rPr>
        <w:t>Develop a Discounted Cash Flow (DCF) model.</w:t>
      </w:r>
    </w:p>
    <w:p w14:paraId="16158692" w14:textId="77777777" w:rsidR="00791BA8" w:rsidRPr="00791BA8" w:rsidRDefault="00791BA8" w:rsidP="00791BA8">
      <w:pPr>
        <w:numPr>
          <w:ilvl w:val="0"/>
          <w:numId w:val="9"/>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color w:val="1A1C1E"/>
          <w:sz w:val="21"/>
          <w:szCs w:val="21"/>
        </w:rPr>
        <w:t>Assumptions: Discount rate (10-15%), project lifetime (20-25 years), construction period, inflation.</w:t>
      </w:r>
    </w:p>
    <w:p w14:paraId="52D83A0C" w14:textId="77777777" w:rsidR="00791BA8" w:rsidRPr="00791BA8" w:rsidRDefault="00791BA8" w:rsidP="00791BA8">
      <w:pPr>
        <w:numPr>
          <w:ilvl w:val="0"/>
          <w:numId w:val="9"/>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b/>
          <w:bCs/>
          <w:color w:val="1A1C1E"/>
          <w:sz w:val="21"/>
          <w:szCs w:val="21"/>
        </w:rPr>
        <w:lastRenderedPageBreak/>
        <w:t>Outputs:</w:t>
      </w:r>
      <w:r w:rsidRPr="00791BA8">
        <w:rPr>
          <w:rFonts w:ascii="Times New Roman" w:eastAsia="Times New Roman" w:hAnsi="Times New Roman" w:cs="Times New Roman"/>
          <w:color w:val="1A1C1E"/>
          <w:sz w:val="21"/>
          <w:szCs w:val="21"/>
        </w:rPr>
        <w:t> Levelized Cost of Energy (LCOE), Levelized Cost of Hydrogen (LCOH), </w:t>
      </w:r>
      <w:r w:rsidRPr="00791BA8">
        <w:rPr>
          <w:rFonts w:ascii="Times New Roman" w:eastAsia="Times New Roman" w:hAnsi="Times New Roman" w:cs="Times New Roman"/>
          <w:b/>
          <w:bCs/>
          <w:color w:val="1A1C1E"/>
          <w:sz w:val="21"/>
          <w:szCs w:val="21"/>
        </w:rPr>
        <w:t>Levelized Cost of Ammonia (LCOA)</w:t>
      </w:r>
      <w:r w:rsidRPr="00791BA8">
        <w:rPr>
          <w:rFonts w:ascii="Times New Roman" w:eastAsia="Times New Roman" w:hAnsi="Times New Roman" w:cs="Times New Roman"/>
          <w:color w:val="1A1C1E"/>
          <w:sz w:val="21"/>
          <w:szCs w:val="21"/>
        </w:rPr>
        <w:t>, cost component breakdown.</w:t>
      </w:r>
    </w:p>
    <w:p w14:paraId="7138755E" w14:textId="77777777" w:rsidR="003F178F" w:rsidRDefault="003F178F" w:rsidP="003F178F">
      <w:pPr>
        <w:pStyle w:val="Heading3"/>
        <w:rPr>
          <w:rFonts w:eastAsia="Times New Roman"/>
        </w:rPr>
      </w:pPr>
    </w:p>
    <w:p w14:paraId="4C37C23D" w14:textId="0197BABB" w:rsidR="00791BA8" w:rsidRDefault="00791BA8" w:rsidP="003F178F">
      <w:pPr>
        <w:pStyle w:val="Heading3"/>
        <w:rPr>
          <w:rFonts w:ascii="Times New Roman" w:eastAsia="Times New Roman" w:hAnsi="Times New Roman" w:cs="Times New Roman"/>
          <w:b/>
          <w:bCs/>
        </w:rPr>
      </w:pPr>
      <w:r w:rsidRPr="003F178F">
        <w:rPr>
          <w:rFonts w:ascii="Times New Roman" w:eastAsia="Times New Roman" w:hAnsi="Times New Roman" w:cs="Times New Roman"/>
          <w:b/>
          <w:bCs/>
        </w:rPr>
        <w:t>1.5 Sensitivity and Scenario Analysis</w:t>
      </w:r>
    </w:p>
    <w:p w14:paraId="34E341AB" w14:textId="77777777" w:rsidR="003F178F" w:rsidRPr="003F178F" w:rsidRDefault="003F178F" w:rsidP="003F178F"/>
    <w:p w14:paraId="12237CDF" w14:textId="77777777" w:rsidR="00791BA8" w:rsidRPr="00791BA8" w:rsidRDefault="00791BA8" w:rsidP="00791BA8">
      <w:pPr>
        <w:numPr>
          <w:ilvl w:val="0"/>
          <w:numId w:val="10"/>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b/>
          <w:bCs/>
          <w:color w:val="1A1C1E"/>
          <w:sz w:val="21"/>
          <w:szCs w:val="21"/>
        </w:rPr>
        <w:t>Sensitivity:</w:t>
      </w:r>
      <w:r w:rsidRPr="00791BA8">
        <w:rPr>
          <w:rFonts w:ascii="Times New Roman" w:eastAsia="Times New Roman" w:hAnsi="Times New Roman" w:cs="Times New Roman"/>
          <w:color w:val="1A1C1E"/>
          <w:sz w:val="21"/>
          <w:szCs w:val="21"/>
        </w:rPr>
        <w:t> Analyze impact of +/- 20% changes in key variables (RE/electrolyzer/ammonia CAPEX, PPA price, discount rate, capacity factor) on LCOA.</w:t>
      </w:r>
    </w:p>
    <w:p w14:paraId="767A4143" w14:textId="77777777" w:rsidR="00791BA8" w:rsidRPr="00791BA8" w:rsidRDefault="00791BA8" w:rsidP="00791BA8">
      <w:pPr>
        <w:numPr>
          <w:ilvl w:val="0"/>
          <w:numId w:val="10"/>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b/>
          <w:bCs/>
          <w:color w:val="1A1C1E"/>
          <w:sz w:val="21"/>
          <w:szCs w:val="21"/>
        </w:rPr>
        <w:t>Scenarios:</w:t>
      </w:r>
      <w:r w:rsidRPr="00791BA8">
        <w:rPr>
          <w:rFonts w:ascii="Times New Roman" w:eastAsia="Times New Roman" w:hAnsi="Times New Roman" w:cs="Times New Roman"/>
          <w:color w:val="1A1C1E"/>
          <w:sz w:val="21"/>
          <w:szCs w:val="21"/>
        </w:rPr>
        <w:t> Compare LCOA for different RE sources, plant scales, cost assumptions (optimistic/base/pessimistic), and grid interaction models.</w:t>
      </w:r>
    </w:p>
    <w:p w14:paraId="5B7D71FA" w14:textId="3FE7D50B" w:rsidR="009103BA" w:rsidRPr="00C5725A" w:rsidRDefault="00791BA8" w:rsidP="009103BA">
      <w:pPr>
        <w:numPr>
          <w:ilvl w:val="0"/>
          <w:numId w:val="10"/>
        </w:numPr>
        <w:shd w:val="clear" w:color="auto" w:fill="FFFFFF"/>
        <w:spacing w:after="45" w:line="300" w:lineRule="atLeast"/>
        <w:rPr>
          <w:rFonts w:ascii="Times New Roman" w:eastAsia="Times New Roman" w:hAnsi="Times New Roman" w:cs="Times New Roman"/>
          <w:color w:val="1A1C1E"/>
          <w:sz w:val="21"/>
          <w:szCs w:val="21"/>
        </w:rPr>
      </w:pPr>
      <w:r w:rsidRPr="00791BA8">
        <w:rPr>
          <w:rFonts w:ascii="Times New Roman" w:eastAsia="Times New Roman" w:hAnsi="Times New Roman" w:cs="Times New Roman"/>
          <w:b/>
          <w:bCs/>
          <w:color w:val="1A1C1E"/>
          <w:sz w:val="21"/>
          <w:szCs w:val="21"/>
        </w:rPr>
        <w:t>Output:</w:t>
      </w:r>
      <w:r w:rsidRPr="00791BA8">
        <w:rPr>
          <w:rFonts w:ascii="Times New Roman" w:eastAsia="Times New Roman" w:hAnsi="Times New Roman" w:cs="Times New Roman"/>
          <w:color w:val="1A1C1E"/>
          <w:sz w:val="21"/>
          <w:szCs w:val="21"/>
        </w:rPr>
        <w:t> LCOA ranges, identification of critical cost drivers, and most promising configurations/locations.</w:t>
      </w:r>
    </w:p>
    <w:p w14:paraId="5C1F4CBA" w14:textId="77777777" w:rsidR="00C5725A" w:rsidRDefault="00C5725A" w:rsidP="009103BA">
      <w:pPr>
        <w:shd w:val="clear" w:color="auto" w:fill="FFFFFF"/>
        <w:spacing w:after="45" w:line="300" w:lineRule="atLeast"/>
        <w:rPr>
          <w:rStyle w:val="Heading2Char"/>
          <w:rFonts w:ascii="Times New Roman" w:hAnsi="Times New Roman" w:cs="Times New Roman"/>
          <w:b/>
          <w:bCs/>
        </w:rPr>
      </w:pPr>
    </w:p>
    <w:p w14:paraId="372937B2" w14:textId="16587F7B" w:rsidR="009103BA" w:rsidRPr="00C5725A" w:rsidRDefault="003F178F" w:rsidP="00C5725A">
      <w:pPr>
        <w:pStyle w:val="Heading3"/>
        <w:rPr>
          <w:rFonts w:ascii="Times New Roman" w:hAnsi="Times New Roman" w:cs="Times New Roman"/>
          <w:b/>
          <w:bCs/>
        </w:rPr>
      </w:pPr>
      <w:r w:rsidRPr="00C5725A">
        <w:rPr>
          <w:rStyle w:val="Heading2Char"/>
          <w:rFonts w:ascii="Times New Roman" w:hAnsi="Times New Roman" w:cs="Times New Roman"/>
          <w:b/>
          <w:bCs/>
          <w:color w:val="1F3763" w:themeColor="accent1" w:themeShade="7F"/>
          <w:sz w:val="24"/>
          <w:szCs w:val="24"/>
        </w:rPr>
        <w:t>WS1</w:t>
      </w:r>
      <w:r w:rsidR="009103BA" w:rsidRPr="00C5725A">
        <w:rPr>
          <w:rStyle w:val="Heading2Char"/>
          <w:rFonts w:ascii="Times New Roman" w:hAnsi="Times New Roman" w:cs="Times New Roman"/>
          <w:b/>
          <w:bCs/>
          <w:color w:val="1F3763" w:themeColor="accent1" w:themeShade="7F"/>
          <w:sz w:val="24"/>
          <w:szCs w:val="24"/>
        </w:rPr>
        <w:t xml:space="preserve"> Timeframe</w:t>
      </w:r>
    </w:p>
    <w:p w14:paraId="20534D06" w14:textId="0AF79DB5" w:rsidR="00B42959" w:rsidRDefault="00010217" w:rsidP="009103BA">
      <w:pPr>
        <w:shd w:val="clear" w:color="auto" w:fill="FFFFFF"/>
        <w:spacing w:after="45" w:line="300" w:lineRule="atLeast"/>
        <w:rPr>
          <w:rFonts w:ascii="Times New Roman" w:eastAsia="Times New Roman" w:hAnsi="Times New Roman" w:cs="Times New Roman"/>
          <w:color w:val="1A1C1E"/>
          <w:sz w:val="21"/>
          <w:szCs w:val="21"/>
        </w:rPr>
      </w:pPr>
      <w:r w:rsidRPr="00010217">
        <w:rPr>
          <w:rFonts w:ascii="Times New Roman" w:eastAsia="Times New Roman" w:hAnsi="Times New Roman" w:cs="Times New Roman"/>
          <w:color w:val="1A1C1E"/>
          <w:sz w:val="21"/>
          <w:szCs w:val="21"/>
        </w:rPr>
        <w:t xml:space="preserve">Approximately </w:t>
      </w:r>
      <w:r w:rsidRPr="003F178F">
        <w:rPr>
          <w:rFonts w:ascii="Times New Roman" w:eastAsia="Times New Roman" w:hAnsi="Times New Roman" w:cs="Times New Roman"/>
          <w:b/>
          <w:bCs/>
          <w:color w:val="1A1C1E"/>
          <w:sz w:val="21"/>
          <w:szCs w:val="21"/>
        </w:rPr>
        <w:t>four weeks</w:t>
      </w:r>
      <w:r w:rsidRPr="00010217">
        <w:rPr>
          <w:rFonts w:ascii="Times New Roman" w:eastAsia="Times New Roman" w:hAnsi="Times New Roman" w:cs="Times New Roman"/>
          <w:color w:val="1A1C1E"/>
          <w:sz w:val="21"/>
          <w:szCs w:val="21"/>
        </w:rPr>
        <w:t xml:space="preserve">, pending data availability/collection time. </w:t>
      </w:r>
    </w:p>
    <w:p w14:paraId="5EA80D91" w14:textId="77777777" w:rsidR="00C5725A" w:rsidRDefault="00C5725A" w:rsidP="00C5725A">
      <w:pPr>
        <w:pStyle w:val="Heading3"/>
        <w:rPr>
          <w:rFonts w:ascii="Times New Roman" w:eastAsia="Times New Roman" w:hAnsi="Times New Roman" w:cs="Times New Roman"/>
          <w:b/>
          <w:bCs/>
        </w:rPr>
      </w:pPr>
    </w:p>
    <w:p w14:paraId="3C810CCD" w14:textId="3C513077" w:rsidR="00C5725A" w:rsidRPr="00C5725A" w:rsidRDefault="00C5725A" w:rsidP="00C5725A">
      <w:pPr>
        <w:pStyle w:val="Heading3"/>
        <w:rPr>
          <w:rFonts w:ascii="Times New Roman" w:eastAsia="Times New Roman" w:hAnsi="Times New Roman" w:cs="Times New Roman"/>
          <w:b/>
          <w:bCs/>
        </w:rPr>
      </w:pPr>
      <w:r w:rsidRPr="00C5725A">
        <w:rPr>
          <w:rFonts w:ascii="Times New Roman" w:eastAsia="Times New Roman" w:hAnsi="Times New Roman" w:cs="Times New Roman"/>
          <w:b/>
          <w:bCs/>
        </w:rPr>
        <w:t>WS</w:t>
      </w:r>
      <w:r w:rsidRPr="00C5725A">
        <w:rPr>
          <w:rFonts w:ascii="Times New Roman" w:eastAsia="Times New Roman" w:hAnsi="Times New Roman" w:cs="Times New Roman"/>
          <w:b/>
          <w:bCs/>
        </w:rPr>
        <w:t>1</w:t>
      </w:r>
      <w:r w:rsidRPr="00C5725A">
        <w:rPr>
          <w:rFonts w:ascii="Times New Roman" w:eastAsia="Times New Roman" w:hAnsi="Times New Roman" w:cs="Times New Roman"/>
          <w:b/>
          <w:bCs/>
        </w:rPr>
        <w:t xml:space="preserve"> Cost: $1</w:t>
      </w:r>
      <w:r w:rsidR="009B2D4F">
        <w:rPr>
          <w:rFonts w:ascii="Times New Roman" w:eastAsia="Times New Roman" w:hAnsi="Times New Roman" w:cs="Times New Roman"/>
          <w:b/>
          <w:bCs/>
        </w:rPr>
        <w:t>5</w:t>
      </w:r>
      <w:r w:rsidRPr="00C5725A">
        <w:rPr>
          <w:rFonts w:ascii="Times New Roman" w:eastAsia="Times New Roman" w:hAnsi="Times New Roman" w:cs="Times New Roman"/>
          <w:b/>
          <w:bCs/>
        </w:rPr>
        <w:t>,</w:t>
      </w:r>
      <w:r w:rsidR="009B2D4F">
        <w:rPr>
          <w:rFonts w:ascii="Times New Roman" w:eastAsia="Times New Roman" w:hAnsi="Times New Roman" w:cs="Times New Roman"/>
          <w:b/>
          <w:bCs/>
        </w:rPr>
        <w:t>0</w:t>
      </w:r>
      <w:r w:rsidRPr="00C5725A">
        <w:rPr>
          <w:rFonts w:ascii="Times New Roman" w:eastAsia="Times New Roman" w:hAnsi="Times New Roman" w:cs="Times New Roman"/>
          <w:b/>
          <w:bCs/>
        </w:rPr>
        <w:t>00</w:t>
      </w:r>
    </w:p>
    <w:p w14:paraId="3B90B4A0" w14:textId="50E218E1" w:rsidR="009103BA" w:rsidRPr="009103BA" w:rsidRDefault="009103BA" w:rsidP="009103BA">
      <w:pPr>
        <w:shd w:val="clear" w:color="auto" w:fill="FFFFFF"/>
        <w:spacing w:after="45" w:line="300" w:lineRule="atLeast"/>
        <w:rPr>
          <w:rFonts w:ascii="Times New Roman" w:eastAsia="Times New Roman" w:hAnsi="Times New Roman" w:cs="Times New Roman"/>
          <w:color w:val="1A1C1E"/>
          <w:sz w:val="21"/>
          <w:szCs w:val="21"/>
        </w:rPr>
      </w:pPr>
    </w:p>
    <w:p w14:paraId="3B503284" w14:textId="77777777" w:rsidR="00D42D04" w:rsidRPr="003F178F" w:rsidRDefault="00D42D04" w:rsidP="003F178F">
      <w:pPr>
        <w:pStyle w:val="Heading2"/>
        <w:rPr>
          <w:rFonts w:ascii="Times New Roman" w:eastAsia="Times New Roman" w:hAnsi="Times New Roman" w:cs="Times New Roman"/>
          <w:b/>
          <w:bCs/>
        </w:rPr>
      </w:pPr>
      <w:r w:rsidRPr="003F178F">
        <w:rPr>
          <w:rFonts w:ascii="Times New Roman" w:eastAsia="Times New Roman" w:hAnsi="Times New Roman" w:cs="Times New Roman"/>
          <w:b/>
          <w:bCs/>
        </w:rPr>
        <w:t>Workstream 2: Fertilizer Market Analysis in Ethiopia</w:t>
      </w:r>
    </w:p>
    <w:p w14:paraId="0EAECF3E" w14:textId="77777777" w:rsidR="00D42D04" w:rsidRPr="00D42D04" w:rsidRDefault="00D42D04" w:rsidP="00D42D04">
      <w:pPr>
        <w:shd w:val="clear" w:color="auto" w:fill="FFFFFF"/>
        <w:spacing w:before="100" w:beforeAutospacing="1" w:after="270"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b/>
          <w:bCs/>
          <w:color w:val="1A1C1E"/>
          <w:sz w:val="21"/>
          <w:szCs w:val="21"/>
        </w:rPr>
        <w:t>Objective:</w:t>
      </w:r>
      <w:r w:rsidRPr="00D42D04">
        <w:rPr>
          <w:rFonts w:ascii="Times New Roman" w:eastAsia="Times New Roman" w:hAnsi="Times New Roman" w:cs="Times New Roman"/>
          <w:color w:val="1A1C1E"/>
          <w:sz w:val="21"/>
          <w:szCs w:val="21"/>
        </w:rPr>
        <w:t> To understand Ethiopia's current fertilizer market structure, pricing, demand drivers, regional variations, and the potential impact of increased local green ammonia supply. This will inform commercial viability and optimal project positioning.</w:t>
      </w:r>
    </w:p>
    <w:p w14:paraId="63513678" w14:textId="75633219" w:rsidR="00D42D04" w:rsidRDefault="00D42D04" w:rsidP="003F178F">
      <w:pPr>
        <w:pStyle w:val="Heading3"/>
        <w:rPr>
          <w:rFonts w:ascii="Times New Roman" w:eastAsia="Times New Roman" w:hAnsi="Times New Roman" w:cs="Times New Roman"/>
          <w:b/>
          <w:bCs/>
        </w:rPr>
      </w:pPr>
      <w:r w:rsidRPr="003F178F">
        <w:rPr>
          <w:rFonts w:ascii="Times New Roman" w:eastAsia="Times New Roman" w:hAnsi="Times New Roman" w:cs="Times New Roman"/>
          <w:b/>
          <w:bCs/>
        </w:rPr>
        <w:t>2.1 Current Fertilizer Market Structure &amp; Value Chain Analysis</w:t>
      </w:r>
    </w:p>
    <w:p w14:paraId="7985CEFB" w14:textId="77777777" w:rsidR="003F178F" w:rsidRPr="003F178F" w:rsidRDefault="003F178F" w:rsidP="003F178F"/>
    <w:p w14:paraId="3DA3753B" w14:textId="77777777" w:rsidR="00D42D04" w:rsidRPr="00D42D04" w:rsidRDefault="00D42D04" w:rsidP="00D42D04">
      <w:pPr>
        <w:numPr>
          <w:ilvl w:val="0"/>
          <w:numId w:val="11"/>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b/>
          <w:bCs/>
          <w:color w:val="1A1C1E"/>
          <w:sz w:val="21"/>
          <w:szCs w:val="21"/>
        </w:rPr>
        <w:t>Map Import Supply Chain:</w:t>
      </w:r>
      <w:r w:rsidRPr="00D42D04">
        <w:rPr>
          <w:rFonts w:ascii="Times New Roman" w:eastAsia="Times New Roman" w:hAnsi="Times New Roman" w:cs="Times New Roman"/>
          <w:color w:val="1A1C1E"/>
          <w:sz w:val="21"/>
          <w:szCs w:val="21"/>
        </w:rPr>
        <w:t> Identify source countries, port of entry (Djibouti), inland transport routes, storage.</w:t>
      </w:r>
    </w:p>
    <w:p w14:paraId="42D537E4" w14:textId="77777777" w:rsidR="00D42D04" w:rsidRPr="00D42D04" w:rsidRDefault="00D42D04" w:rsidP="00D42D04">
      <w:pPr>
        <w:numPr>
          <w:ilvl w:val="0"/>
          <w:numId w:val="11"/>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b/>
          <w:bCs/>
          <w:color w:val="1A1C1E"/>
          <w:sz w:val="21"/>
          <w:szCs w:val="21"/>
        </w:rPr>
        <w:t>Key Market Players:</w:t>
      </w:r>
      <w:r w:rsidRPr="00D42D04">
        <w:rPr>
          <w:rFonts w:ascii="Times New Roman" w:eastAsia="Times New Roman" w:hAnsi="Times New Roman" w:cs="Times New Roman"/>
          <w:color w:val="1A1C1E"/>
          <w:sz w:val="21"/>
          <w:szCs w:val="21"/>
        </w:rPr>
        <w:t> Profile importers (e.g., Ethiopian Agricultural Business Corporation - EABC), distributors, retailers (cooperatives), Ministry of Agriculture (</w:t>
      </w:r>
      <w:proofErr w:type="spellStart"/>
      <w:r w:rsidRPr="00D42D04">
        <w:rPr>
          <w:rFonts w:ascii="Times New Roman" w:eastAsia="Times New Roman" w:hAnsi="Times New Roman" w:cs="Times New Roman"/>
          <w:color w:val="1A1C1E"/>
          <w:sz w:val="21"/>
          <w:szCs w:val="21"/>
        </w:rPr>
        <w:t>MoA</w:t>
      </w:r>
      <w:proofErr w:type="spellEnd"/>
      <w:r w:rsidRPr="00D42D04">
        <w:rPr>
          <w:rFonts w:ascii="Times New Roman" w:eastAsia="Times New Roman" w:hAnsi="Times New Roman" w:cs="Times New Roman"/>
          <w:color w:val="1A1C1E"/>
          <w:sz w:val="21"/>
          <w:szCs w:val="21"/>
        </w:rPr>
        <w:t>), development partners.</w:t>
      </w:r>
    </w:p>
    <w:p w14:paraId="736979CB" w14:textId="58A0E0DE" w:rsidR="009103BA" w:rsidRPr="00D42D04" w:rsidRDefault="00D42D04" w:rsidP="009103BA">
      <w:pPr>
        <w:numPr>
          <w:ilvl w:val="0"/>
          <w:numId w:val="11"/>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b/>
          <w:bCs/>
          <w:color w:val="1A1C1E"/>
          <w:sz w:val="21"/>
          <w:szCs w:val="21"/>
        </w:rPr>
        <w:t>Value Chain Costs &amp; Margins:</w:t>
      </w:r>
      <w:r w:rsidRPr="00D42D04">
        <w:rPr>
          <w:rFonts w:ascii="Times New Roman" w:eastAsia="Times New Roman" w:hAnsi="Times New Roman" w:cs="Times New Roman"/>
          <w:color w:val="1A1C1E"/>
          <w:sz w:val="21"/>
          <w:szCs w:val="21"/>
        </w:rPr>
        <w:t> Estimate cost build-up: CIF, port/clearing, duties, transport, storage, distributor/retailer margins.</w:t>
      </w:r>
      <w:r w:rsidR="009103BA">
        <w:rPr>
          <w:rFonts w:ascii="Times New Roman" w:eastAsia="Times New Roman" w:hAnsi="Times New Roman" w:cs="Times New Roman"/>
          <w:color w:val="1A1C1E"/>
          <w:sz w:val="21"/>
          <w:szCs w:val="21"/>
        </w:rPr>
        <w:t xml:space="preserve"> Analyze and investigate current fertilizer subsidies.</w:t>
      </w:r>
    </w:p>
    <w:p w14:paraId="6431B9A2" w14:textId="5088EC59" w:rsidR="00D42D04" w:rsidRPr="00D42D04" w:rsidRDefault="00D42D04" w:rsidP="00D42D04">
      <w:pPr>
        <w:numPr>
          <w:ilvl w:val="0"/>
          <w:numId w:val="11"/>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b/>
          <w:bCs/>
          <w:color w:val="1A1C1E"/>
          <w:sz w:val="21"/>
          <w:szCs w:val="21"/>
        </w:rPr>
        <w:t>Data Sources:</w:t>
      </w:r>
      <w:r w:rsidRPr="00D42D04">
        <w:rPr>
          <w:rFonts w:ascii="Times New Roman" w:eastAsia="Times New Roman" w:hAnsi="Times New Roman" w:cs="Times New Roman"/>
          <w:color w:val="1A1C1E"/>
          <w:sz w:val="21"/>
          <w:szCs w:val="21"/>
        </w:rPr>
        <w:t> </w:t>
      </w:r>
      <w:r w:rsidRPr="006B5337">
        <w:rPr>
          <w:rFonts w:ascii="Times New Roman" w:eastAsia="Times New Roman" w:hAnsi="Times New Roman" w:cs="Times New Roman"/>
          <w:color w:val="1A1C1E"/>
          <w:sz w:val="21"/>
          <w:szCs w:val="21"/>
        </w:rPr>
        <w:t xml:space="preserve">AfricaFertilizer, </w:t>
      </w:r>
      <w:proofErr w:type="spellStart"/>
      <w:r w:rsidRPr="00D42D04">
        <w:rPr>
          <w:rFonts w:ascii="Times New Roman" w:eastAsia="Times New Roman" w:hAnsi="Times New Roman" w:cs="Times New Roman"/>
          <w:color w:val="1A1C1E"/>
          <w:sz w:val="21"/>
          <w:szCs w:val="21"/>
        </w:rPr>
        <w:t>MiDA</w:t>
      </w:r>
      <w:proofErr w:type="spellEnd"/>
      <w:r w:rsidRPr="00D42D04">
        <w:rPr>
          <w:rFonts w:ascii="Times New Roman" w:eastAsia="Times New Roman" w:hAnsi="Times New Roman" w:cs="Times New Roman"/>
          <w:color w:val="1A1C1E"/>
          <w:sz w:val="21"/>
          <w:szCs w:val="21"/>
        </w:rPr>
        <w:t xml:space="preserve">, UN </w:t>
      </w:r>
      <w:proofErr w:type="spellStart"/>
      <w:r w:rsidRPr="00D42D04">
        <w:rPr>
          <w:rFonts w:ascii="Times New Roman" w:eastAsia="Times New Roman" w:hAnsi="Times New Roman" w:cs="Times New Roman"/>
          <w:color w:val="1A1C1E"/>
          <w:sz w:val="21"/>
          <w:szCs w:val="21"/>
        </w:rPr>
        <w:t>Comtrade</w:t>
      </w:r>
      <w:proofErr w:type="spellEnd"/>
      <w:r w:rsidRPr="00D42D04">
        <w:rPr>
          <w:rFonts w:ascii="Times New Roman" w:eastAsia="Times New Roman" w:hAnsi="Times New Roman" w:cs="Times New Roman"/>
          <w:color w:val="1A1C1E"/>
          <w:sz w:val="21"/>
          <w:szCs w:val="21"/>
        </w:rPr>
        <w:t>, industry report</w:t>
      </w:r>
      <w:r w:rsidRPr="006B5337">
        <w:rPr>
          <w:rFonts w:ascii="Times New Roman" w:eastAsia="Times New Roman" w:hAnsi="Times New Roman" w:cs="Times New Roman"/>
          <w:color w:val="1A1C1E"/>
          <w:sz w:val="21"/>
          <w:szCs w:val="21"/>
        </w:rPr>
        <w:t>s</w:t>
      </w:r>
      <w:r w:rsidRPr="00D42D04">
        <w:rPr>
          <w:rFonts w:ascii="Times New Roman" w:eastAsia="Times New Roman" w:hAnsi="Times New Roman" w:cs="Times New Roman"/>
          <w:color w:val="1A1C1E"/>
          <w:sz w:val="21"/>
          <w:szCs w:val="21"/>
        </w:rPr>
        <w:t>.</w:t>
      </w:r>
    </w:p>
    <w:p w14:paraId="1E6DE6E3" w14:textId="77777777" w:rsidR="003F178F" w:rsidRDefault="003F178F" w:rsidP="003F178F">
      <w:pPr>
        <w:pStyle w:val="Heading3"/>
        <w:rPr>
          <w:rFonts w:ascii="Times New Roman" w:eastAsia="Times New Roman" w:hAnsi="Times New Roman" w:cs="Times New Roman"/>
          <w:b/>
          <w:bCs/>
        </w:rPr>
      </w:pPr>
    </w:p>
    <w:p w14:paraId="62AB662C" w14:textId="35BFE982" w:rsidR="00D42D04" w:rsidRDefault="00D42D04" w:rsidP="003F178F">
      <w:pPr>
        <w:pStyle w:val="Heading3"/>
        <w:rPr>
          <w:rFonts w:ascii="Times New Roman" w:eastAsia="Times New Roman" w:hAnsi="Times New Roman" w:cs="Times New Roman"/>
          <w:b/>
          <w:bCs/>
        </w:rPr>
      </w:pPr>
      <w:r w:rsidRPr="003F178F">
        <w:rPr>
          <w:rFonts w:ascii="Times New Roman" w:eastAsia="Times New Roman" w:hAnsi="Times New Roman" w:cs="Times New Roman"/>
          <w:b/>
          <w:bCs/>
        </w:rPr>
        <w:t>2.2 Fertilizer Demand Analysis (National and Regional)</w:t>
      </w:r>
    </w:p>
    <w:p w14:paraId="271A446E" w14:textId="77777777" w:rsidR="003F178F" w:rsidRPr="003F178F" w:rsidRDefault="003F178F" w:rsidP="003F178F"/>
    <w:p w14:paraId="647B9C85" w14:textId="77777777" w:rsidR="00D42D04" w:rsidRPr="00D42D04" w:rsidRDefault="00D42D04" w:rsidP="00D42D04">
      <w:pPr>
        <w:numPr>
          <w:ilvl w:val="0"/>
          <w:numId w:val="12"/>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b/>
          <w:bCs/>
          <w:color w:val="1A1C1E"/>
          <w:sz w:val="21"/>
          <w:szCs w:val="21"/>
        </w:rPr>
        <w:t>National Demand:</w:t>
      </w:r>
      <w:r w:rsidRPr="00D42D04">
        <w:rPr>
          <w:rFonts w:ascii="Times New Roman" w:eastAsia="Times New Roman" w:hAnsi="Times New Roman" w:cs="Times New Roman"/>
          <w:color w:val="1A1C1E"/>
          <w:sz w:val="21"/>
          <w:szCs w:val="21"/>
        </w:rPr>
        <w:t> Quantify historical and current demand for nitrogenous fertilizers (Urea, DAP focusing on NH3 equivalent); identify seasonality.</w:t>
      </w:r>
    </w:p>
    <w:p w14:paraId="753081CA" w14:textId="77777777" w:rsidR="00D42D04" w:rsidRPr="00D42D04" w:rsidRDefault="00D42D04" w:rsidP="00D42D04">
      <w:pPr>
        <w:numPr>
          <w:ilvl w:val="0"/>
          <w:numId w:val="12"/>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b/>
          <w:bCs/>
          <w:color w:val="1A1C1E"/>
          <w:sz w:val="21"/>
          <w:szCs w:val="21"/>
        </w:rPr>
        <w:t>Regional Demand (County/Woreda level if possible):</w:t>
      </w:r>
    </w:p>
    <w:p w14:paraId="60F01CAA" w14:textId="77777777" w:rsidR="00D42D04" w:rsidRPr="00D42D04" w:rsidRDefault="00D42D04" w:rsidP="00D42D04">
      <w:pPr>
        <w:numPr>
          <w:ilvl w:val="1"/>
          <w:numId w:val="12"/>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color w:val="1A1C1E"/>
          <w:sz w:val="21"/>
          <w:szCs w:val="21"/>
        </w:rPr>
        <w:t xml:space="preserve">Identify </w:t>
      </w:r>
      <w:proofErr w:type="gramStart"/>
      <w:r w:rsidRPr="00D42D04">
        <w:rPr>
          <w:rFonts w:ascii="Times New Roman" w:eastAsia="Times New Roman" w:hAnsi="Times New Roman" w:cs="Times New Roman"/>
          <w:color w:val="1A1C1E"/>
          <w:sz w:val="21"/>
          <w:szCs w:val="21"/>
        </w:rPr>
        <w:t>high-consumption</w:t>
      </w:r>
      <w:proofErr w:type="gramEnd"/>
      <w:r w:rsidRPr="00D42D04">
        <w:rPr>
          <w:rFonts w:ascii="Times New Roman" w:eastAsia="Times New Roman" w:hAnsi="Times New Roman" w:cs="Times New Roman"/>
          <w:color w:val="1A1C1E"/>
          <w:sz w:val="21"/>
          <w:szCs w:val="21"/>
        </w:rPr>
        <w:t>/potential agricultural zones using proxies (crop production, cultivated area for key crops).</w:t>
      </w:r>
    </w:p>
    <w:p w14:paraId="76889061" w14:textId="2E68D4CB" w:rsidR="00D42D04" w:rsidRPr="00D42D04" w:rsidRDefault="00D42D04" w:rsidP="00D42D04">
      <w:pPr>
        <w:numPr>
          <w:ilvl w:val="1"/>
          <w:numId w:val="12"/>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color w:val="1A1C1E"/>
          <w:sz w:val="21"/>
          <w:szCs w:val="21"/>
        </w:rPr>
        <w:t xml:space="preserve">Data: </w:t>
      </w:r>
      <w:r w:rsidRPr="006B5337">
        <w:rPr>
          <w:rFonts w:ascii="Times New Roman" w:eastAsia="Times New Roman" w:hAnsi="Times New Roman" w:cs="Times New Roman"/>
          <w:color w:val="1A1C1E"/>
          <w:sz w:val="21"/>
          <w:szCs w:val="21"/>
        </w:rPr>
        <w:t>TBD</w:t>
      </w:r>
    </w:p>
    <w:p w14:paraId="046E2ED4" w14:textId="77777777" w:rsidR="00D42D04" w:rsidRPr="00D42D04" w:rsidRDefault="00D42D04" w:rsidP="00D42D04">
      <w:pPr>
        <w:numPr>
          <w:ilvl w:val="0"/>
          <w:numId w:val="12"/>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b/>
          <w:bCs/>
          <w:color w:val="1A1C1E"/>
          <w:sz w:val="21"/>
          <w:szCs w:val="21"/>
        </w:rPr>
        <w:lastRenderedPageBreak/>
        <w:t>Data Sources:</w:t>
      </w:r>
      <w:r w:rsidRPr="00D42D04">
        <w:rPr>
          <w:rFonts w:ascii="Times New Roman" w:eastAsia="Times New Roman" w:hAnsi="Times New Roman" w:cs="Times New Roman"/>
          <w:color w:val="1A1C1E"/>
          <w:sz w:val="21"/>
          <w:szCs w:val="21"/>
        </w:rPr>
        <w:t> </w:t>
      </w:r>
      <w:proofErr w:type="spellStart"/>
      <w:r w:rsidRPr="00D42D04">
        <w:rPr>
          <w:rFonts w:ascii="Times New Roman" w:eastAsia="Times New Roman" w:hAnsi="Times New Roman" w:cs="Times New Roman"/>
          <w:color w:val="1A1C1E"/>
          <w:sz w:val="21"/>
          <w:szCs w:val="21"/>
        </w:rPr>
        <w:t>MoA</w:t>
      </w:r>
      <w:proofErr w:type="spellEnd"/>
      <w:r w:rsidRPr="00D42D04">
        <w:rPr>
          <w:rFonts w:ascii="Times New Roman" w:eastAsia="Times New Roman" w:hAnsi="Times New Roman" w:cs="Times New Roman"/>
          <w:color w:val="1A1C1E"/>
          <w:sz w:val="21"/>
          <w:szCs w:val="21"/>
        </w:rPr>
        <w:t>, EABC, FAOSTAT, CSA, research institutes.</w:t>
      </w:r>
    </w:p>
    <w:p w14:paraId="6A4226A4" w14:textId="77777777" w:rsidR="003F178F" w:rsidRDefault="003F178F" w:rsidP="003F178F">
      <w:pPr>
        <w:pStyle w:val="Heading3"/>
        <w:rPr>
          <w:rFonts w:ascii="Times New Roman" w:eastAsia="Times New Roman" w:hAnsi="Times New Roman" w:cs="Times New Roman"/>
          <w:b/>
          <w:bCs/>
        </w:rPr>
      </w:pPr>
    </w:p>
    <w:p w14:paraId="12072FEB" w14:textId="2D5D2ADD" w:rsidR="00D42D04" w:rsidRDefault="00D42D04" w:rsidP="003F178F">
      <w:pPr>
        <w:pStyle w:val="Heading3"/>
        <w:rPr>
          <w:rFonts w:ascii="Times New Roman" w:eastAsia="Times New Roman" w:hAnsi="Times New Roman" w:cs="Times New Roman"/>
          <w:b/>
          <w:bCs/>
        </w:rPr>
      </w:pPr>
      <w:r w:rsidRPr="003F178F">
        <w:rPr>
          <w:rFonts w:ascii="Times New Roman" w:eastAsia="Times New Roman" w:hAnsi="Times New Roman" w:cs="Times New Roman"/>
          <w:b/>
          <w:bCs/>
        </w:rPr>
        <w:t>2.3 Fertilizer Price Analysis (National and Regional)</w:t>
      </w:r>
    </w:p>
    <w:p w14:paraId="47589BC8" w14:textId="77777777" w:rsidR="003F178F" w:rsidRPr="003F178F" w:rsidRDefault="003F178F" w:rsidP="003F178F"/>
    <w:p w14:paraId="38C606FD" w14:textId="77777777" w:rsidR="00D42D04" w:rsidRPr="00D42D04" w:rsidRDefault="00D42D04" w:rsidP="00D42D04">
      <w:pPr>
        <w:numPr>
          <w:ilvl w:val="0"/>
          <w:numId w:val="13"/>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b/>
          <w:bCs/>
          <w:color w:val="1A1C1E"/>
          <w:sz w:val="21"/>
          <w:szCs w:val="21"/>
        </w:rPr>
        <w:t>Import Parity Price (IPP):</w:t>
      </w:r>
      <w:r w:rsidRPr="00D42D04">
        <w:rPr>
          <w:rFonts w:ascii="Times New Roman" w:eastAsia="Times New Roman" w:hAnsi="Times New Roman" w:cs="Times New Roman"/>
          <w:color w:val="1A1C1E"/>
          <w:sz w:val="21"/>
          <w:szCs w:val="21"/>
        </w:rPr>
        <w:t> Calculate landed IPP for Urea/ammonia using international benchmarks and import costs.</w:t>
      </w:r>
    </w:p>
    <w:p w14:paraId="2006EFBA" w14:textId="77777777" w:rsidR="00D42D04" w:rsidRPr="00D42D04" w:rsidRDefault="00D42D04" w:rsidP="00D42D04">
      <w:pPr>
        <w:numPr>
          <w:ilvl w:val="0"/>
          <w:numId w:val="13"/>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b/>
          <w:bCs/>
          <w:color w:val="1A1C1E"/>
          <w:sz w:val="21"/>
          <w:szCs w:val="21"/>
        </w:rPr>
        <w:t>Domestic Price Monitoring:</w:t>
      </w:r>
      <w:r w:rsidRPr="00D42D04">
        <w:rPr>
          <w:rFonts w:ascii="Times New Roman" w:eastAsia="Times New Roman" w:hAnsi="Times New Roman" w:cs="Times New Roman"/>
          <w:color w:val="1A1C1E"/>
          <w:sz w:val="21"/>
          <w:szCs w:val="21"/>
        </w:rPr>
        <w:t> Collect current/historical wholesale, retail, and (crucially) farm-gate prices for Urea in key agricultural regions.</w:t>
      </w:r>
    </w:p>
    <w:p w14:paraId="452787EA" w14:textId="77777777" w:rsidR="00D42D04" w:rsidRPr="00D42D04" w:rsidRDefault="00D42D04" w:rsidP="00D42D04">
      <w:pPr>
        <w:numPr>
          <w:ilvl w:val="0"/>
          <w:numId w:val="13"/>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b/>
          <w:bCs/>
          <w:color w:val="1A1C1E"/>
          <w:sz w:val="21"/>
          <w:szCs w:val="21"/>
        </w:rPr>
        <w:t>Regional Price Differentials:</w:t>
      </w:r>
      <w:r w:rsidRPr="00D42D04">
        <w:rPr>
          <w:rFonts w:ascii="Times New Roman" w:eastAsia="Times New Roman" w:hAnsi="Times New Roman" w:cs="Times New Roman"/>
          <w:color w:val="1A1C1E"/>
          <w:sz w:val="21"/>
          <w:szCs w:val="21"/>
        </w:rPr>
        <w:t> Analyze and map price variations across Ethiopia; identify drivers (transport, market power). </w:t>
      </w:r>
      <w:r w:rsidRPr="00D42D04">
        <w:rPr>
          <w:rFonts w:ascii="Times New Roman" w:eastAsia="Times New Roman" w:hAnsi="Times New Roman" w:cs="Times New Roman"/>
          <w:b/>
          <w:bCs/>
          <w:color w:val="1A1C1E"/>
          <w:sz w:val="21"/>
          <w:szCs w:val="21"/>
        </w:rPr>
        <w:t>This helps identify regions where local production offers a competitive advantage.</w:t>
      </w:r>
    </w:p>
    <w:p w14:paraId="1895F194" w14:textId="77777777" w:rsidR="00D42D04" w:rsidRPr="00D42D04" w:rsidRDefault="00D42D04" w:rsidP="00D42D04">
      <w:pPr>
        <w:numPr>
          <w:ilvl w:val="0"/>
          <w:numId w:val="13"/>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b/>
          <w:bCs/>
          <w:color w:val="1A1C1E"/>
          <w:sz w:val="21"/>
          <w:szCs w:val="21"/>
        </w:rPr>
        <w:t>Price Volatility &amp; Affordability:</w:t>
      </w:r>
      <w:r w:rsidRPr="00D42D04">
        <w:rPr>
          <w:rFonts w:ascii="Times New Roman" w:eastAsia="Times New Roman" w:hAnsi="Times New Roman" w:cs="Times New Roman"/>
          <w:color w:val="1A1C1E"/>
          <w:sz w:val="21"/>
          <w:szCs w:val="21"/>
        </w:rPr>
        <w:t> Assess historical volatility and impact on smallholders.</w:t>
      </w:r>
    </w:p>
    <w:p w14:paraId="4B617EE0" w14:textId="77777777" w:rsidR="00D42D04" w:rsidRPr="00D42D04" w:rsidRDefault="00D42D04" w:rsidP="00D42D04">
      <w:pPr>
        <w:numPr>
          <w:ilvl w:val="0"/>
          <w:numId w:val="13"/>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b/>
          <w:bCs/>
          <w:color w:val="1A1C1E"/>
          <w:sz w:val="21"/>
          <w:szCs w:val="21"/>
        </w:rPr>
        <w:t>Data Sources:</w:t>
      </w:r>
      <w:r w:rsidRPr="00D42D04">
        <w:rPr>
          <w:rFonts w:ascii="Times New Roman" w:eastAsia="Times New Roman" w:hAnsi="Times New Roman" w:cs="Times New Roman"/>
          <w:color w:val="1A1C1E"/>
          <w:sz w:val="21"/>
          <w:szCs w:val="21"/>
        </w:rPr>
        <w:t xml:space="preserve"> Commodity reports, </w:t>
      </w:r>
      <w:proofErr w:type="spellStart"/>
      <w:r w:rsidRPr="00D42D04">
        <w:rPr>
          <w:rFonts w:ascii="Times New Roman" w:eastAsia="Times New Roman" w:hAnsi="Times New Roman" w:cs="Times New Roman"/>
          <w:color w:val="1A1C1E"/>
          <w:sz w:val="21"/>
          <w:szCs w:val="21"/>
        </w:rPr>
        <w:t>MiDA</w:t>
      </w:r>
      <w:proofErr w:type="spellEnd"/>
      <w:r w:rsidRPr="00D42D04">
        <w:rPr>
          <w:rFonts w:ascii="Times New Roman" w:eastAsia="Times New Roman" w:hAnsi="Times New Roman" w:cs="Times New Roman"/>
          <w:color w:val="1A1C1E"/>
          <w:sz w:val="21"/>
          <w:szCs w:val="21"/>
        </w:rPr>
        <w:t xml:space="preserve"> local network for price collection (</w:t>
      </w:r>
      <w:proofErr w:type="spellStart"/>
      <w:r w:rsidRPr="00D42D04">
        <w:rPr>
          <w:rFonts w:ascii="Times New Roman" w:eastAsia="Times New Roman" w:hAnsi="Times New Roman" w:cs="Times New Roman"/>
          <w:color w:val="1A1C1E"/>
          <w:sz w:val="21"/>
          <w:szCs w:val="21"/>
        </w:rPr>
        <w:t>MoA</w:t>
      </w:r>
      <w:proofErr w:type="spellEnd"/>
      <w:r w:rsidRPr="00D42D04">
        <w:rPr>
          <w:rFonts w:ascii="Times New Roman" w:eastAsia="Times New Roman" w:hAnsi="Times New Roman" w:cs="Times New Roman"/>
          <w:color w:val="1A1C1E"/>
          <w:sz w:val="21"/>
          <w:szCs w:val="21"/>
        </w:rPr>
        <w:t>/EABC, cooperatives, market surveys).</w:t>
      </w:r>
    </w:p>
    <w:p w14:paraId="2F80F8AD" w14:textId="77777777" w:rsidR="003F178F" w:rsidRDefault="003F178F" w:rsidP="003F178F">
      <w:pPr>
        <w:pStyle w:val="Heading3"/>
        <w:rPr>
          <w:rFonts w:ascii="Times New Roman" w:eastAsia="Times New Roman" w:hAnsi="Times New Roman" w:cs="Times New Roman"/>
          <w:b/>
          <w:bCs/>
        </w:rPr>
      </w:pPr>
    </w:p>
    <w:p w14:paraId="764D357B" w14:textId="7289E772" w:rsidR="00D42D04" w:rsidRPr="003F178F" w:rsidRDefault="00D42D04" w:rsidP="003F178F">
      <w:pPr>
        <w:pStyle w:val="Heading3"/>
        <w:rPr>
          <w:rFonts w:ascii="Times New Roman" w:eastAsia="Times New Roman" w:hAnsi="Times New Roman" w:cs="Times New Roman"/>
          <w:b/>
          <w:bCs/>
        </w:rPr>
      </w:pPr>
      <w:r w:rsidRPr="003F178F">
        <w:rPr>
          <w:rFonts w:ascii="Times New Roman" w:eastAsia="Times New Roman" w:hAnsi="Times New Roman" w:cs="Times New Roman"/>
          <w:b/>
          <w:bCs/>
        </w:rPr>
        <w:t>2.4 Competitiveness and Market Entry Assessment for Local Green Ammonia/Fertilizer</w:t>
      </w:r>
    </w:p>
    <w:p w14:paraId="424FB664" w14:textId="77777777" w:rsidR="003F178F" w:rsidRPr="003F178F" w:rsidRDefault="003F178F" w:rsidP="003F178F">
      <w:pPr>
        <w:shd w:val="clear" w:color="auto" w:fill="FFFFFF"/>
        <w:spacing w:after="45" w:line="300" w:lineRule="atLeast"/>
        <w:ind w:left="720"/>
        <w:rPr>
          <w:rFonts w:ascii="Times New Roman" w:eastAsia="Times New Roman" w:hAnsi="Times New Roman" w:cs="Times New Roman"/>
          <w:color w:val="1A1C1E"/>
          <w:sz w:val="21"/>
          <w:szCs w:val="21"/>
        </w:rPr>
      </w:pPr>
    </w:p>
    <w:p w14:paraId="0B09B549" w14:textId="01D0CCDC" w:rsidR="00D42D04" w:rsidRPr="00D42D04" w:rsidRDefault="00D42D04" w:rsidP="00D42D04">
      <w:pPr>
        <w:numPr>
          <w:ilvl w:val="0"/>
          <w:numId w:val="14"/>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b/>
          <w:bCs/>
          <w:color w:val="1A1C1E"/>
          <w:sz w:val="21"/>
          <w:szCs w:val="21"/>
        </w:rPr>
        <w:t>Price Competitiveness:</w:t>
      </w:r>
      <w:r w:rsidRPr="00D42D04">
        <w:rPr>
          <w:rFonts w:ascii="Times New Roman" w:eastAsia="Times New Roman" w:hAnsi="Times New Roman" w:cs="Times New Roman"/>
          <w:color w:val="1A1C1E"/>
          <w:sz w:val="21"/>
          <w:szCs w:val="21"/>
        </w:rPr>
        <w:t> Compare estimated LCOA (from WS1) with IPP, domestic prices, and SOE target offtake prices. Consider forex savings benefit.</w:t>
      </w:r>
    </w:p>
    <w:p w14:paraId="0E7C5FE7" w14:textId="77777777" w:rsidR="00D42D04" w:rsidRPr="00D42D04" w:rsidRDefault="00D42D04" w:rsidP="00D42D04">
      <w:pPr>
        <w:numPr>
          <w:ilvl w:val="0"/>
          <w:numId w:val="14"/>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b/>
          <w:bCs/>
          <w:color w:val="1A1C1E"/>
          <w:sz w:val="21"/>
          <w:szCs w:val="21"/>
        </w:rPr>
        <w:t>Non-Price Factors:</w:t>
      </w:r>
      <w:r w:rsidRPr="00D42D04">
        <w:rPr>
          <w:rFonts w:ascii="Times New Roman" w:eastAsia="Times New Roman" w:hAnsi="Times New Roman" w:cs="Times New Roman"/>
          <w:color w:val="1A1C1E"/>
          <w:sz w:val="21"/>
          <w:szCs w:val="21"/>
        </w:rPr>
        <w:t> Reliability of local supply, reduced logistics, "green" attributes.</w:t>
      </w:r>
    </w:p>
    <w:p w14:paraId="5477E51A" w14:textId="254EB883" w:rsidR="00D42D04" w:rsidRPr="00D42D04" w:rsidRDefault="00D42D04" w:rsidP="00D42D04">
      <w:pPr>
        <w:numPr>
          <w:ilvl w:val="0"/>
          <w:numId w:val="14"/>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b/>
          <w:bCs/>
          <w:color w:val="1A1C1E"/>
          <w:sz w:val="21"/>
          <w:szCs w:val="21"/>
        </w:rPr>
        <w:t>Target Market Segments &amp; Offtake Potential</w:t>
      </w:r>
      <w:r w:rsidR="00B42959">
        <w:rPr>
          <w:rFonts w:ascii="Times New Roman" w:eastAsia="Times New Roman" w:hAnsi="Times New Roman" w:cs="Times New Roman"/>
          <w:b/>
          <w:bCs/>
          <w:color w:val="1A1C1E"/>
          <w:sz w:val="21"/>
          <w:szCs w:val="21"/>
        </w:rPr>
        <w:t xml:space="preserve"> (TBD, based on time and availability)</w:t>
      </w:r>
      <w:r w:rsidRPr="00D42D04">
        <w:rPr>
          <w:rFonts w:ascii="Times New Roman" w:eastAsia="Times New Roman" w:hAnsi="Times New Roman" w:cs="Times New Roman"/>
          <w:b/>
          <w:bCs/>
          <w:color w:val="1A1C1E"/>
          <w:sz w:val="21"/>
          <w:szCs w:val="21"/>
        </w:rPr>
        <w:t>:</w:t>
      </w:r>
    </w:p>
    <w:p w14:paraId="169CFB87" w14:textId="4230AA9C" w:rsidR="00D42D04" w:rsidRPr="00D42D04" w:rsidRDefault="00D42D04" w:rsidP="00D42D04">
      <w:pPr>
        <w:numPr>
          <w:ilvl w:val="1"/>
          <w:numId w:val="14"/>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color w:val="1A1C1E"/>
          <w:sz w:val="21"/>
          <w:szCs w:val="21"/>
        </w:rPr>
        <w:t>Confirm SOE (e.g., EABC) interest, volumes, procurement criteria</w:t>
      </w:r>
      <w:r w:rsidR="00B42959">
        <w:rPr>
          <w:rFonts w:ascii="Times New Roman" w:eastAsia="Times New Roman" w:hAnsi="Times New Roman" w:cs="Times New Roman"/>
          <w:color w:val="1A1C1E"/>
          <w:sz w:val="21"/>
          <w:szCs w:val="21"/>
        </w:rPr>
        <w:t>.</w:t>
      </w:r>
    </w:p>
    <w:p w14:paraId="1F6A1ECB" w14:textId="77777777" w:rsidR="00D42D04" w:rsidRPr="00D42D04" w:rsidRDefault="00D42D04" w:rsidP="00D42D04">
      <w:pPr>
        <w:numPr>
          <w:ilvl w:val="1"/>
          <w:numId w:val="14"/>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color w:val="1A1C1E"/>
          <w:sz w:val="21"/>
          <w:szCs w:val="21"/>
        </w:rPr>
        <w:t>Assess potential from large commercial farms, farmer cooperatives.</w:t>
      </w:r>
    </w:p>
    <w:p w14:paraId="452C26CA" w14:textId="77777777" w:rsidR="00D42D04" w:rsidRPr="00D42D04" w:rsidRDefault="00D42D04" w:rsidP="00D42D04">
      <w:pPr>
        <w:numPr>
          <w:ilvl w:val="0"/>
          <w:numId w:val="14"/>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b/>
          <w:bCs/>
          <w:color w:val="1A1C1E"/>
          <w:sz w:val="21"/>
          <w:szCs w:val="21"/>
        </w:rPr>
        <w:t>Impact of Local Supply:</w:t>
      </w:r>
      <w:r w:rsidRPr="00D42D04">
        <w:rPr>
          <w:rFonts w:ascii="Times New Roman" w:eastAsia="Times New Roman" w:hAnsi="Times New Roman" w:cs="Times New Roman"/>
          <w:color w:val="1A1C1E"/>
          <w:sz w:val="21"/>
          <w:szCs w:val="21"/>
        </w:rPr>
        <w:t> Estimate potential market share and influence on regional prices/imports.</w:t>
      </w:r>
    </w:p>
    <w:p w14:paraId="7FDD9429" w14:textId="77777777" w:rsidR="003F178F" w:rsidRDefault="003F178F" w:rsidP="003F178F">
      <w:pPr>
        <w:pStyle w:val="Heading3"/>
        <w:rPr>
          <w:rFonts w:ascii="Times New Roman" w:eastAsia="Times New Roman" w:hAnsi="Times New Roman" w:cs="Times New Roman"/>
          <w:b/>
          <w:bCs/>
        </w:rPr>
      </w:pPr>
    </w:p>
    <w:p w14:paraId="49D8F371" w14:textId="4BCFD9A6" w:rsidR="00D42D04" w:rsidRDefault="00D42D04" w:rsidP="003F178F">
      <w:pPr>
        <w:pStyle w:val="Heading3"/>
        <w:rPr>
          <w:rFonts w:ascii="Times New Roman" w:eastAsia="Times New Roman" w:hAnsi="Times New Roman" w:cs="Times New Roman"/>
          <w:b/>
          <w:bCs/>
        </w:rPr>
      </w:pPr>
      <w:r w:rsidRPr="003F178F">
        <w:rPr>
          <w:rFonts w:ascii="Times New Roman" w:eastAsia="Times New Roman" w:hAnsi="Times New Roman" w:cs="Times New Roman"/>
          <w:b/>
          <w:bCs/>
        </w:rPr>
        <w:t>2.5 Potential Impact of Increased Fertilizer Availability on Crop Yields &amp; Food Security</w:t>
      </w:r>
    </w:p>
    <w:p w14:paraId="20392868" w14:textId="77777777" w:rsidR="003F178F" w:rsidRPr="003F178F" w:rsidRDefault="003F178F" w:rsidP="003F178F"/>
    <w:p w14:paraId="23000AA6" w14:textId="77777777" w:rsidR="00D42D04" w:rsidRPr="00D42D04" w:rsidRDefault="00D42D04" w:rsidP="00D42D04">
      <w:pPr>
        <w:numPr>
          <w:ilvl w:val="0"/>
          <w:numId w:val="15"/>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b/>
          <w:bCs/>
          <w:color w:val="1A1C1E"/>
          <w:sz w:val="21"/>
          <w:szCs w:val="21"/>
        </w:rPr>
        <w:t>Estimate Yield Response:</w:t>
      </w:r>
      <w:r w:rsidRPr="00D42D04">
        <w:rPr>
          <w:rFonts w:ascii="Times New Roman" w:eastAsia="Times New Roman" w:hAnsi="Times New Roman" w:cs="Times New Roman"/>
          <w:color w:val="1A1C1E"/>
          <w:sz w:val="21"/>
          <w:szCs w:val="21"/>
        </w:rPr>
        <w:t> High-level estimate of yield increases for key crops (teff, wheat, maize) from improved nitrogen application (sub-optimal to optimal).</w:t>
      </w:r>
    </w:p>
    <w:p w14:paraId="53A5388D" w14:textId="77777777" w:rsidR="00D42D04" w:rsidRPr="00D42D04" w:rsidRDefault="00D42D04" w:rsidP="00D42D04">
      <w:pPr>
        <w:numPr>
          <w:ilvl w:val="0"/>
          <w:numId w:val="15"/>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b/>
          <w:bCs/>
          <w:color w:val="1A1C1E"/>
          <w:sz w:val="21"/>
          <w:szCs w:val="21"/>
        </w:rPr>
        <w:t>Contribution to Food Security &amp; Livelihoods:</w:t>
      </w:r>
      <w:r w:rsidRPr="00D42D04">
        <w:rPr>
          <w:rFonts w:ascii="Times New Roman" w:eastAsia="Times New Roman" w:hAnsi="Times New Roman" w:cs="Times New Roman"/>
          <w:color w:val="1A1C1E"/>
          <w:sz w:val="21"/>
          <w:szCs w:val="21"/>
        </w:rPr>
        <w:t> Qualitatively describe benefits for national food security and smallholder incomes.</w:t>
      </w:r>
    </w:p>
    <w:p w14:paraId="0477668C" w14:textId="77777777" w:rsidR="00D42D04" w:rsidRPr="00D42D04" w:rsidRDefault="00D42D04" w:rsidP="00D42D04">
      <w:pPr>
        <w:numPr>
          <w:ilvl w:val="0"/>
          <w:numId w:val="15"/>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b/>
          <w:bCs/>
          <w:color w:val="1A1C1E"/>
          <w:sz w:val="21"/>
          <w:szCs w:val="21"/>
        </w:rPr>
        <w:t>Data Sources:</w:t>
      </w:r>
      <w:r w:rsidRPr="00D42D04">
        <w:rPr>
          <w:rFonts w:ascii="Times New Roman" w:eastAsia="Times New Roman" w:hAnsi="Times New Roman" w:cs="Times New Roman"/>
          <w:color w:val="1A1C1E"/>
          <w:sz w:val="21"/>
          <w:szCs w:val="21"/>
        </w:rPr>
        <w:t> FAO, IFPRI, Ethiopian agricultural research. (Note: High-level assessment, no detailed agronomic modeling).</w:t>
      </w:r>
    </w:p>
    <w:p w14:paraId="1273F747" w14:textId="77777777" w:rsidR="003F178F" w:rsidRDefault="003F178F" w:rsidP="003F178F">
      <w:pPr>
        <w:pStyle w:val="Heading2"/>
      </w:pPr>
    </w:p>
    <w:p w14:paraId="49CFC5FB" w14:textId="4BACE81F" w:rsidR="003F178F" w:rsidRPr="00C5725A" w:rsidRDefault="003F178F" w:rsidP="00C5725A">
      <w:pPr>
        <w:pStyle w:val="Heading3"/>
        <w:rPr>
          <w:rFonts w:ascii="Times New Roman" w:hAnsi="Times New Roman" w:cs="Times New Roman"/>
          <w:b/>
          <w:bCs/>
        </w:rPr>
      </w:pPr>
      <w:r w:rsidRPr="00C5725A">
        <w:rPr>
          <w:rStyle w:val="Heading2Char"/>
          <w:rFonts w:ascii="Times New Roman" w:hAnsi="Times New Roman" w:cs="Times New Roman"/>
          <w:b/>
          <w:bCs/>
          <w:color w:val="1F3763" w:themeColor="accent1" w:themeShade="7F"/>
          <w:sz w:val="24"/>
          <w:szCs w:val="24"/>
        </w:rPr>
        <w:t>WS2</w:t>
      </w:r>
      <w:r w:rsidRPr="00C5725A">
        <w:rPr>
          <w:rStyle w:val="Heading2Char"/>
          <w:rFonts w:ascii="Times New Roman" w:hAnsi="Times New Roman" w:cs="Times New Roman"/>
          <w:b/>
          <w:bCs/>
          <w:color w:val="1F3763" w:themeColor="accent1" w:themeShade="7F"/>
          <w:sz w:val="24"/>
          <w:szCs w:val="24"/>
        </w:rPr>
        <w:t xml:space="preserve"> Timeframe</w:t>
      </w:r>
    </w:p>
    <w:p w14:paraId="42EB07B9" w14:textId="478994AC" w:rsidR="003F178F" w:rsidRDefault="003F178F" w:rsidP="003F178F">
      <w:pPr>
        <w:shd w:val="clear" w:color="auto" w:fill="FFFFFF"/>
        <w:spacing w:after="45" w:line="300" w:lineRule="atLeast"/>
        <w:rPr>
          <w:rFonts w:ascii="Times New Roman" w:eastAsia="Times New Roman" w:hAnsi="Times New Roman" w:cs="Times New Roman"/>
          <w:color w:val="1A1C1E"/>
          <w:sz w:val="21"/>
          <w:szCs w:val="21"/>
        </w:rPr>
      </w:pPr>
      <w:r w:rsidRPr="00010217">
        <w:rPr>
          <w:rFonts w:ascii="Times New Roman" w:eastAsia="Times New Roman" w:hAnsi="Times New Roman" w:cs="Times New Roman"/>
          <w:color w:val="1A1C1E"/>
          <w:sz w:val="21"/>
          <w:szCs w:val="21"/>
        </w:rPr>
        <w:t xml:space="preserve">Approximately </w:t>
      </w:r>
      <w:r w:rsidRPr="003F178F">
        <w:rPr>
          <w:rFonts w:ascii="Times New Roman" w:eastAsia="Times New Roman" w:hAnsi="Times New Roman" w:cs="Times New Roman"/>
          <w:b/>
          <w:bCs/>
          <w:color w:val="1A1C1E"/>
          <w:sz w:val="21"/>
          <w:szCs w:val="21"/>
        </w:rPr>
        <w:t>three to four weeks</w:t>
      </w:r>
      <w:r w:rsidRPr="00010217">
        <w:rPr>
          <w:rFonts w:ascii="Times New Roman" w:eastAsia="Times New Roman" w:hAnsi="Times New Roman" w:cs="Times New Roman"/>
          <w:color w:val="1A1C1E"/>
          <w:sz w:val="21"/>
          <w:szCs w:val="21"/>
        </w:rPr>
        <w:t xml:space="preserve">, pending data availability/collection time. </w:t>
      </w:r>
    </w:p>
    <w:p w14:paraId="047649FF" w14:textId="41E3567F" w:rsidR="00C5725A" w:rsidRDefault="00C5725A" w:rsidP="003F178F">
      <w:pPr>
        <w:shd w:val="clear" w:color="auto" w:fill="FFFFFF"/>
        <w:spacing w:after="45" w:line="300" w:lineRule="atLeast"/>
        <w:rPr>
          <w:rFonts w:ascii="Times New Roman" w:eastAsia="Times New Roman" w:hAnsi="Times New Roman" w:cs="Times New Roman"/>
          <w:color w:val="1A1C1E"/>
          <w:sz w:val="21"/>
          <w:szCs w:val="21"/>
        </w:rPr>
      </w:pPr>
    </w:p>
    <w:p w14:paraId="497A1DCD" w14:textId="580389A3" w:rsidR="00C5725A" w:rsidRPr="00C5725A" w:rsidRDefault="00C5725A" w:rsidP="00C5725A">
      <w:pPr>
        <w:pStyle w:val="Heading3"/>
        <w:rPr>
          <w:rFonts w:ascii="Times New Roman" w:eastAsia="Times New Roman" w:hAnsi="Times New Roman" w:cs="Times New Roman"/>
          <w:b/>
          <w:bCs/>
        </w:rPr>
      </w:pPr>
      <w:r w:rsidRPr="00C5725A">
        <w:rPr>
          <w:rFonts w:ascii="Times New Roman" w:eastAsia="Times New Roman" w:hAnsi="Times New Roman" w:cs="Times New Roman"/>
          <w:b/>
          <w:bCs/>
        </w:rPr>
        <w:lastRenderedPageBreak/>
        <w:t>WS2 Cost: $12,500</w:t>
      </w:r>
    </w:p>
    <w:p w14:paraId="0CE3B667" w14:textId="77777777" w:rsidR="003F178F" w:rsidRDefault="003F178F" w:rsidP="003F178F">
      <w:pPr>
        <w:pStyle w:val="Heading2"/>
        <w:rPr>
          <w:rFonts w:ascii="Times New Roman" w:hAnsi="Times New Roman" w:cs="Times New Roman"/>
        </w:rPr>
      </w:pPr>
    </w:p>
    <w:p w14:paraId="73A5BCDB" w14:textId="661348FB" w:rsidR="00D42D04" w:rsidRPr="003F178F" w:rsidRDefault="00D42D04" w:rsidP="003F178F">
      <w:pPr>
        <w:pStyle w:val="Heading2"/>
        <w:rPr>
          <w:rFonts w:ascii="Times New Roman" w:hAnsi="Times New Roman" w:cs="Times New Roman"/>
          <w:b/>
          <w:bCs/>
        </w:rPr>
      </w:pPr>
      <w:r w:rsidRPr="003F178F">
        <w:rPr>
          <w:rFonts w:ascii="Times New Roman" w:hAnsi="Times New Roman" w:cs="Times New Roman"/>
          <w:b/>
          <w:bCs/>
        </w:rPr>
        <w:t>Overall Deliverables from WS1 &amp; WS2</w:t>
      </w:r>
    </w:p>
    <w:p w14:paraId="15788121" w14:textId="77777777" w:rsidR="003F178F" w:rsidRPr="003F178F" w:rsidRDefault="003F178F" w:rsidP="003F178F"/>
    <w:p w14:paraId="384B2002" w14:textId="77777777" w:rsidR="00D42D04" w:rsidRPr="00D42D04" w:rsidRDefault="00D42D04" w:rsidP="00D42D04">
      <w:pPr>
        <w:numPr>
          <w:ilvl w:val="0"/>
          <w:numId w:val="16"/>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color w:val="1A1C1E"/>
          <w:sz w:val="21"/>
          <w:szCs w:val="21"/>
        </w:rPr>
        <w:t>A comprehensive pre-feasibility report integrating:</w:t>
      </w:r>
    </w:p>
    <w:p w14:paraId="3517CFB5" w14:textId="1742C6EB" w:rsidR="00D42D04" w:rsidRPr="00D42D04" w:rsidRDefault="00D42D04" w:rsidP="00D42D04">
      <w:pPr>
        <w:numPr>
          <w:ilvl w:val="1"/>
          <w:numId w:val="16"/>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color w:val="1A1C1E"/>
          <w:sz w:val="21"/>
          <w:szCs w:val="21"/>
        </w:rPr>
        <w:t xml:space="preserve">TEA findings: Suitable </w:t>
      </w:r>
      <w:r w:rsidR="00B42959">
        <w:rPr>
          <w:rFonts w:ascii="Times New Roman" w:eastAsia="Times New Roman" w:hAnsi="Times New Roman" w:cs="Times New Roman"/>
          <w:color w:val="1A1C1E"/>
          <w:sz w:val="21"/>
          <w:szCs w:val="21"/>
        </w:rPr>
        <w:t>project</w:t>
      </w:r>
      <w:r w:rsidRPr="00D42D04">
        <w:rPr>
          <w:rFonts w:ascii="Times New Roman" w:eastAsia="Times New Roman" w:hAnsi="Times New Roman" w:cs="Times New Roman"/>
          <w:color w:val="1A1C1E"/>
          <w:sz w:val="21"/>
          <w:szCs w:val="21"/>
        </w:rPr>
        <w:t xml:space="preserve"> zones, LCOA for various scenarios, key cost drivers.</w:t>
      </w:r>
    </w:p>
    <w:p w14:paraId="6D882A91" w14:textId="77777777" w:rsidR="00D42D04" w:rsidRPr="00D42D04" w:rsidRDefault="00D42D04" w:rsidP="00D42D04">
      <w:pPr>
        <w:numPr>
          <w:ilvl w:val="1"/>
          <w:numId w:val="16"/>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color w:val="1A1C1E"/>
          <w:sz w:val="21"/>
          <w:szCs w:val="21"/>
        </w:rPr>
        <w:t>Market Analysis findings: Value chain, demand/price dynamics, regional opportunities, competitiveness.</w:t>
      </w:r>
    </w:p>
    <w:p w14:paraId="1BD5F863" w14:textId="4A57797B" w:rsidR="00D42D04" w:rsidRPr="00D42D04" w:rsidRDefault="00C5725A" w:rsidP="00D42D04">
      <w:pPr>
        <w:numPr>
          <w:ilvl w:val="0"/>
          <w:numId w:val="16"/>
        </w:numPr>
        <w:shd w:val="clear" w:color="auto" w:fill="FFFFFF"/>
        <w:spacing w:after="45" w:line="300" w:lineRule="atLeast"/>
        <w:rPr>
          <w:rFonts w:ascii="Times New Roman" w:eastAsia="Times New Roman" w:hAnsi="Times New Roman" w:cs="Times New Roman"/>
          <w:color w:val="1A1C1E"/>
          <w:sz w:val="21"/>
          <w:szCs w:val="21"/>
        </w:rPr>
      </w:pPr>
      <w:r>
        <w:rPr>
          <w:rFonts w:ascii="Times New Roman" w:eastAsia="Times New Roman" w:hAnsi="Times New Roman" w:cs="Times New Roman"/>
          <w:color w:val="1A1C1E"/>
          <w:sz w:val="21"/>
          <w:szCs w:val="21"/>
        </w:rPr>
        <w:t>Heatmaps</w:t>
      </w:r>
      <w:r w:rsidR="00D42D04" w:rsidRPr="00D42D04">
        <w:rPr>
          <w:rFonts w:ascii="Times New Roman" w:eastAsia="Times New Roman" w:hAnsi="Times New Roman" w:cs="Times New Roman"/>
          <w:color w:val="1A1C1E"/>
          <w:sz w:val="21"/>
          <w:szCs w:val="21"/>
        </w:rPr>
        <w:t xml:space="preserve"> illustrating RE resource potential, land suitability, infrastructure, fertilizer demand, and price variations.</w:t>
      </w:r>
    </w:p>
    <w:p w14:paraId="143034DE" w14:textId="29C04AEB" w:rsidR="003F178F" w:rsidRDefault="00D42D04" w:rsidP="00C5725A">
      <w:pPr>
        <w:numPr>
          <w:ilvl w:val="0"/>
          <w:numId w:val="16"/>
        </w:numPr>
        <w:shd w:val="clear" w:color="auto" w:fill="FFFFFF"/>
        <w:spacing w:after="45" w:line="300" w:lineRule="atLeast"/>
        <w:rPr>
          <w:rFonts w:ascii="Times New Roman" w:eastAsia="Times New Roman" w:hAnsi="Times New Roman" w:cs="Times New Roman"/>
          <w:color w:val="1A1C1E"/>
          <w:sz w:val="21"/>
          <w:szCs w:val="21"/>
        </w:rPr>
      </w:pPr>
      <w:r w:rsidRPr="00D42D04">
        <w:rPr>
          <w:rFonts w:ascii="Times New Roman" w:eastAsia="Times New Roman" w:hAnsi="Times New Roman" w:cs="Times New Roman"/>
          <w:color w:val="1A1C1E"/>
          <w:sz w:val="21"/>
          <w:szCs w:val="21"/>
        </w:rPr>
        <w:t>Recommendations for potential pilot project locations, scales, and configurations, highlighting key risks and next steps for a full feasibility study.</w:t>
      </w:r>
    </w:p>
    <w:p w14:paraId="5106E174" w14:textId="1AB299F8" w:rsidR="00C5725A" w:rsidRPr="00C5725A" w:rsidRDefault="00C5725A" w:rsidP="00C5725A">
      <w:pPr>
        <w:numPr>
          <w:ilvl w:val="0"/>
          <w:numId w:val="16"/>
        </w:numPr>
        <w:shd w:val="clear" w:color="auto" w:fill="FFFFFF"/>
        <w:spacing w:after="45" w:line="300" w:lineRule="atLeast"/>
        <w:rPr>
          <w:rFonts w:ascii="Times New Roman" w:eastAsia="Times New Roman" w:hAnsi="Times New Roman" w:cs="Times New Roman"/>
          <w:b/>
          <w:bCs/>
          <w:color w:val="1A1C1E"/>
          <w:sz w:val="21"/>
          <w:szCs w:val="21"/>
        </w:rPr>
      </w:pPr>
      <w:r w:rsidRPr="00C5725A">
        <w:rPr>
          <w:rFonts w:ascii="Times New Roman" w:eastAsia="Times New Roman" w:hAnsi="Times New Roman" w:cs="Times New Roman"/>
          <w:b/>
          <w:bCs/>
          <w:i/>
          <w:iCs/>
          <w:color w:val="1A1C1E"/>
          <w:sz w:val="21"/>
          <w:szCs w:val="21"/>
        </w:rPr>
        <w:t>Total required time</w:t>
      </w:r>
      <w:r w:rsidRPr="00C5725A">
        <w:rPr>
          <w:rFonts w:ascii="Times New Roman" w:eastAsia="Times New Roman" w:hAnsi="Times New Roman" w:cs="Times New Roman"/>
          <w:b/>
          <w:bCs/>
          <w:color w:val="1A1C1E"/>
          <w:sz w:val="21"/>
          <w:szCs w:val="21"/>
        </w:rPr>
        <w:t>: 6-9 weeks pending data availability and deliverable structure.</w:t>
      </w:r>
    </w:p>
    <w:p w14:paraId="50C98E98" w14:textId="1967A7A4" w:rsidR="00C5725A" w:rsidRPr="00C5725A" w:rsidRDefault="00C5725A" w:rsidP="00C5725A">
      <w:pPr>
        <w:numPr>
          <w:ilvl w:val="0"/>
          <w:numId w:val="16"/>
        </w:numPr>
        <w:shd w:val="clear" w:color="auto" w:fill="FFFFFF"/>
        <w:spacing w:after="45" w:line="300" w:lineRule="atLeast"/>
        <w:rPr>
          <w:rFonts w:ascii="Times New Roman" w:eastAsia="Times New Roman" w:hAnsi="Times New Roman" w:cs="Times New Roman"/>
          <w:b/>
          <w:bCs/>
          <w:color w:val="1A1C1E"/>
          <w:sz w:val="21"/>
          <w:szCs w:val="21"/>
        </w:rPr>
      </w:pPr>
      <w:r w:rsidRPr="00C5725A">
        <w:rPr>
          <w:rFonts w:ascii="Times New Roman" w:eastAsia="Times New Roman" w:hAnsi="Times New Roman" w:cs="Times New Roman"/>
          <w:b/>
          <w:bCs/>
          <w:i/>
          <w:iCs/>
          <w:color w:val="1A1C1E"/>
          <w:sz w:val="21"/>
          <w:szCs w:val="21"/>
        </w:rPr>
        <w:t>Total cost</w:t>
      </w:r>
      <w:r w:rsidRPr="00C5725A">
        <w:rPr>
          <w:rFonts w:ascii="Times New Roman" w:eastAsia="Times New Roman" w:hAnsi="Times New Roman" w:cs="Times New Roman"/>
          <w:b/>
          <w:bCs/>
          <w:color w:val="1A1C1E"/>
          <w:sz w:val="21"/>
          <w:szCs w:val="21"/>
        </w:rPr>
        <w:t>: $27,500</w:t>
      </w:r>
    </w:p>
    <w:p w14:paraId="567E54D7" w14:textId="77777777" w:rsidR="00C5725A" w:rsidRDefault="00C5725A" w:rsidP="00C5725A">
      <w:pPr>
        <w:shd w:val="clear" w:color="auto" w:fill="FFFFFF"/>
        <w:spacing w:after="45" w:line="300" w:lineRule="atLeast"/>
        <w:rPr>
          <w:rFonts w:ascii="Times New Roman" w:eastAsia="Times New Roman" w:hAnsi="Times New Roman" w:cs="Times New Roman"/>
          <w:color w:val="1A1C1E"/>
          <w:sz w:val="21"/>
          <w:szCs w:val="21"/>
        </w:rPr>
      </w:pPr>
    </w:p>
    <w:p w14:paraId="5329B11A" w14:textId="77777777" w:rsidR="00C5725A" w:rsidRPr="006B5337" w:rsidRDefault="00C5725A" w:rsidP="00C5725A">
      <w:pPr>
        <w:shd w:val="clear" w:color="auto" w:fill="FFFFFF"/>
        <w:spacing w:after="45" w:line="300" w:lineRule="atLeast"/>
        <w:rPr>
          <w:rFonts w:ascii="Times New Roman" w:eastAsia="Times New Roman" w:hAnsi="Times New Roman" w:cs="Times New Roman"/>
          <w:color w:val="1A1C1E"/>
          <w:sz w:val="21"/>
          <w:szCs w:val="21"/>
        </w:rPr>
      </w:pPr>
    </w:p>
    <w:sectPr w:rsidR="00C5725A" w:rsidRPr="006B53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82AF1" w14:textId="77777777" w:rsidR="008415FE" w:rsidRDefault="008415FE" w:rsidP="00490223">
      <w:r>
        <w:separator/>
      </w:r>
    </w:p>
  </w:endnote>
  <w:endnote w:type="continuationSeparator" w:id="0">
    <w:p w14:paraId="3FD8C325" w14:textId="77777777" w:rsidR="008415FE" w:rsidRDefault="008415FE" w:rsidP="00490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9420C" w14:textId="77777777" w:rsidR="008415FE" w:rsidRDefault="008415FE" w:rsidP="00490223">
      <w:r>
        <w:separator/>
      </w:r>
    </w:p>
  </w:footnote>
  <w:footnote w:type="continuationSeparator" w:id="0">
    <w:p w14:paraId="26ABF38B" w14:textId="77777777" w:rsidR="008415FE" w:rsidRDefault="008415FE" w:rsidP="00490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69DC9" w14:textId="609CBACB" w:rsidR="00490223" w:rsidRDefault="00490223">
    <w:pPr>
      <w:pStyle w:val="Header"/>
    </w:pPr>
    <w:r>
      <w:rPr>
        <w:noProof/>
      </w:rPr>
      <w:drawing>
        <wp:anchor distT="0" distB="0" distL="114300" distR="114300" simplePos="0" relativeHeight="251660288" behindDoc="0" locked="0" layoutInCell="1" allowOverlap="1" wp14:anchorId="3553252A" wp14:editId="2F4C4122">
          <wp:simplePos x="0" y="0"/>
          <wp:positionH relativeFrom="column">
            <wp:posOffset>-762000</wp:posOffset>
          </wp:positionH>
          <wp:positionV relativeFrom="paragraph">
            <wp:posOffset>-342900</wp:posOffset>
          </wp:positionV>
          <wp:extent cx="2156460" cy="388620"/>
          <wp:effectExtent l="0" t="0" r="2540" b="508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156460" cy="3886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4B19AF9" wp14:editId="32FC8658">
              <wp:simplePos x="0" y="0"/>
              <wp:positionH relativeFrom="column">
                <wp:posOffset>-906780</wp:posOffset>
              </wp:positionH>
              <wp:positionV relativeFrom="paragraph">
                <wp:posOffset>-449580</wp:posOffset>
              </wp:positionV>
              <wp:extent cx="7787640" cy="594360"/>
              <wp:effectExtent l="0" t="0" r="10160" b="15240"/>
              <wp:wrapNone/>
              <wp:docPr id="4" name="Rectangle 4"/>
              <wp:cNvGraphicFramePr/>
              <a:graphic xmlns:a="http://schemas.openxmlformats.org/drawingml/2006/main">
                <a:graphicData uri="http://schemas.microsoft.com/office/word/2010/wordprocessingShape">
                  <wps:wsp>
                    <wps:cNvSpPr/>
                    <wps:spPr>
                      <a:xfrm>
                        <a:off x="0" y="0"/>
                        <a:ext cx="7787640" cy="594360"/>
                      </a:xfrm>
                      <a:prstGeom prst="rect">
                        <a:avLst/>
                      </a:prstGeom>
                      <a:solidFill>
                        <a:srgbClr val="00336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E8FD3D" id="Rectangle 4" o:spid="_x0000_s1026" style="position:absolute;margin-left:-71.4pt;margin-top:-35.4pt;width:613.2pt;height:46.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" fillcolor="#036" strokecolor="#1f3763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720A"/>
    <w:multiLevelType w:val="multilevel"/>
    <w:tmpl w:val="87B2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E3E86"/>
    <w:multiLevelType w:val="multilevel"/>
    <w:tmpl w:val="DA5CA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E0C1B"/>
    <w:multiLevelType w:val="multilevel"/>
    <w:tmpl w:val="21BC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0180C"/>
    <w:multiLevelType w:val="multilevel"/>
    <w:tmpl w:val="50649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B0C54"/>
    <w:multiLevelType w:val="multilevel"/>
    <w:tmpl w:val="2448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57C76"/>
    <w:multiLevelType w:val="multilevel"/>
    <w:tmpl w:val="08561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23FF1"/>
    <w:multiLevelType w:val="multilevel"/>
    <w:tmpl w:val="889AD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A6E4B"/>
    <w:multiLevelType w:val="multilevel"/>
    <w:tmpl w:val="E1C62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A6643C"/>
    <w:multiLevelType w:val="multilevel"/>
    <w:tmpl w:val="5D18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25D28"/>
    <w:multiLevelType w:val="multilevel"/>
    <w:tmpl w:val="3F3C6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1197E"/>
    <w:multiLevelType w:val="multilevel"/>
    <w:tmpl w:val="79A8C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7059A"/>
    <w:multiLevelType w:val="multilevel"/>
    <w:tmpl w:val="48EE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153E0"/>
    <w:multiLevelType w:val="multilevel"/>
    <w:tmpl w:val="FE98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73A5E"/>
    <w:multiLevelType w:val="multilevel"/>
    <w:tmpl w:val="B45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72DAD"/>
    <w:multiLevelType w:val="multilevel"/>
    <w:tmpl w:val="019E6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3C05F3"/>
    <w:multiLevelType w:val="multilevel"/>
    <w:tmpl w:val="B4AA7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E6AAD"/>
    <w:multiLevelType w:val="multilevel"/>
    <w:tmpl w:val="8D50E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409590">
    <w:abstractNumId w:val="5"/>
  </w:num>
  <w:num w:numId="2" w16cid:durableId="464354282">
    <w:abstractNumId w:val="6"/>
  </w:num>
  <w:num w:numId="3" w16cid:durableId="94135884">
    <w:abstractNumId w:val="1"/>
  </w:num>
  <w:num w:numId="4" w16cid:durableId="1062369148">
    <w:abstractNumId w:val="14"/>
  </w:num>
  <w:num w:numId="5" w16cid:durableId="718239395">
    <w:abstractNumId w:val="15"/>
  </w:num>
  <w:num w:numId="6" w16cid:durableId="1658806751">
    <w:abstractNumId w:val="4"/>
  </w:num>
  <w:num w:numId="7" w16cid:durableId="1668316856">
    <w:abstractNumId w:val="3"/>
  </w:num>
  <w:num w:numId="8" w16cid:durableId="887570500">
    <w:abstractNumId w:val="8"/>
  </w:num>
  <w:num w:numId="9" w16cid:durableId="526064013">
    <w:abstractNumId w:val="13"/>
  </w:num>
  <w:num w:numId="10" w16cid:durableId="2067298342">
    <w:abstractNumId w:val="11"/>
  </w:num>
  <w:num w:numId="11" w16cid:durableId="1866793454">
    <w:abstractNumId w:val="2"/>
  </w:num>
  <w:num w:numId="12" w16cid:durableId="1188449537">
    <w:abstractNumId w:val="9"/>
  </w:num>
  <w:num w:numId="13" w16cid:durableId="1509832818">
    <w:abstractNumId w:val="12"/>
  </w:num>
  <w:num w:numId="14" w16cid:durableId="796333523">
    <w:abstractNumId w:val="16"/>
  </w:num>
  <w:num w:numId="15" w16cid:durableId="60519655">
    <w:abstractNumId w:val="0"/>
  </w:num>
  <w:num w:numId="16" w16cid:durableId="510486171">
    <w:abstractNumId w:val="10"/>
  </w:num>
  <w:num w:numId="17" w16cid:durableId="16803085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A8"/>
    <w:rsid w:val="00010217"/>
    <w:rsid w:val="002D72A5"/>
    <w:rsid w:val="003512FC"/>
    <w:rsid w:val="003F178F"/>
    <w:rsid w:val="00490223"/>
    <w:rsid w:val="006142DF"/>
    <w:rsid w:val="006B5337"/>
    <w:rsid w:val="00791BA8"/>
    <w:rsid w:val="008415FE"/>
    <w:rsid w:val="008546ED"/>
    <w:rsid w:val="009103BA"/>
    <w:rsid w:val="00925125"/>
    <w:rsid w:val="009B2D4F"/>
    <w:rsid w:val="00B42959"/>
    <w:rsid w:val="00C5725A"/>
    <w:rsid w:val="00D42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DE7D3"/>
  <w15:chartTrackingRefBased/>
  <w15:docId w15:val="{1FDBA0C7-E7AF-B144-AAEB-0E83AA19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7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7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178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791BA8"/>
    <w:pPr>
      <w:spacing w:before="100" w:beforeAutospacing="1" w:after="100" w:afterAutospacing="1"/>
    </w:pPr>
    <w:rPr>
      <w:rFonts w:ascii="Times New Roman" w:eastAsia="Times New Roman" w:hAnsi="Times New Roman" w:cs="Times New Roman"/>
    </w:rPr>
  </w:style>
  <w:style w:type="character" w:customStyle="1" w:styleId="ng-star-inserted1">
    <w:name w:val="ng-star-inserted1"/>
    <w:basedOn w:val="DefaultParagraphFont"/>
    <w:rsid w:val="00791BA8"/>
  </w:style>
  <w:style w:type="table" w:styleId="TableGrid">
    <w:name w:val="Table Grid"/>
    <w:basedOn w:val="TableNormal"/>
    <w:uiPriority w:val="39"/>
    <w:rsid w:val="00010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0223"/>
    <w:pPr>
      <w:tabs>
        <w:tab w:val="center" w:pos="4680"/>
        <w:tab w:val="right" w:pos="9360"/>
      </w:tabs>
    </w:pPr>
  </w:style>
  <w:style w:type="character" w:customStyle="1" w:styleId="HeaderChar">
    <w:name w:val="Header Char"/>
    <w:basedOn w:val="DefaultParagraphFont"/>
    <w:link w:val="Header"/>
    <w:uiPriority w:val="99"/>
    <w:rsid w:val="00490223"/>
  </w:style>
  <w:style w:type="paragraph" w:styleId="Footer">
    <w:name w:val="footer"/>
    <w:basedOn w:val="Normal"/>
    <w:link w:val="FooterChar"/>
    <w:uiPriority w:val="99"/>
    <w:unhideWhenUsed/>
    <w:rsid w:val="00490223"/>
    <w:pPr>
      <w:tabs>
        <w:tab w:val="center" w:pos="4680"/>
        <w:tab w:val="right" w:pos="9360"/>
      </w:tabs>
    </w:pPr>
  </w:style>
  <w:style w:type="character" w:customStyle="1" w:styleId="FooterChar">
    <w:name w:val="Footer Char"/>
    <w:basedOn w:val="DefaultParagraphFont"/>
    <w:link w:val="Footer"/>
    <w:uiPriority w:val="99"/>
    <w:rsid w:val="00490223"/>
  </w:style>
  <w:style w:type="character" w:customStyle="1" w:styleId="Heading1Char">
    <w:name w:val="Heading 1 Char"/>
    <w:basedOn w:val="DefaultParagraphFont"/>
    <w:link w:val="Heading1"/>
    <w:uiPriority w:val="9"/>
    <w:rsid w:val="003F17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17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178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8131">
      <w:bodyDiv w:val="1"/>
      <w:marLeft w:val="0"/>
      <w:marRight w:val="0"/>
      <w:marTop w:val="0"/>
      <w:marBottom w:val="0"/>
      <w:divBdr>
        <w:top w:val="none" w:sz="0" w:space="0" w:color="auto"/>
        <w:left w:val="none" w:sz="0" w:space="0" w:color="auto"/>
        <w:bottom w:val="none" w:sz="0" w:space="0" w:color="auto"/>
        <w:right w:val="none" w:sz="0" w:space="0" w:color="auto"/>
      </w:divBdr>
      <w:divsChild>
        <w:div w:id="868104980">
          <w:marLeft w:val="0"/>
          <w:marRight w:val="0"/>
          <w:marTop w:val="0"/>
          <w:marBottom w:val="0"/>
          <w:divBdr>
            <w:top w:val="none" w:sz="0" w:space="0" w:color="auto"/>
            <w:left w:val="none" w:sz="0" w:space="0" w:color="auto"/>
            <w:bottom w:val="none" w:sz="0" w:space="0" w:color="auto"/>
            <w:right w:val="none" w:sz="0" w:space="0" w:color="auto"/>
          </w:divBdr>
          <w:divsChild>
            <w:div w:id="1106580910">
              <w:marLeft w:val="0"/>
              <w:marRight w:val="0"/>
              <w:marTop w:val="0"/>
              <w:marBottom w:val="0"/>
              <w:divBdr>
                <w:top w:val="none" w:sz="0" w:space="0" w:color="auto"/>
                <w:left w:val="none" w:sz="0" w:space="0" w:color="auto"/>
                <w:bottom w:val="none" w:sz="0" w:space="0" w:color="auto"/>
                <w:right w:val="none" w:sz="0" w:space="0" w:color="auto"/>
              </w:divBdr>
            </w:div>
          </w:divsChild>
        </w:div>
        <w:div w:id="2020545881">
          <w:marLeft w:val="0"/>
          <w:marRight w:val="0"/>
          <w:marTop w:val="0"/>
          <w:marBottom w:val="0"/>
          <w:divBdr>
            <w:top w:val="none" w:sz="0" w:space="0" w:color="auto"/>
            <w:left w:val="none" w:sz="0" w:space="0" w:color="auto"/>
            <w:bottom w:val="none" w:sz="0" w:space="0" w:color="auto"/>
            <w:right w:val="none" w:sz="0" w:space="0" w:color="auto"/>
          </w:divBdr>
        </w:div>
      </w:divsChild>
    </w:div>
    <w:div w:id="491530651">
      <w:bodyDiv w:val="1"/>
      <w:marLeft w:val="0"/>
      <w:marRight w:val="0"/>
      <w:marTop w:val="0"/>
      <w:marBottom w:val="0"/>
      <w:divBdr>
        <w:top w:val="none" w:sz="0" w:space="0" w:color="auto"/>
        <w:left w:val="none" w:sz="0" w:space="0" w:color="auto"/>
        <w:bottom w:val="none" w:sz="0" w:space="0" w:color="auto"/>
        <w:right w:val="none" w:sz="0" w:space="0" w:color="auto"/>
      </w:divBdr>
    </w:div>
    <w:div w:id="545532924">
      <w:bodyDiv w:val="1"/>
      <w:marLeft w:val="0"/>
      <w:marRight w:val="0"/>
      <w:marTop w:val="0"/>
      <w:marBottom w:val="0"/>
      <w:divBdr>
        <w:top w:val="none" w:sz="0" w:space="0" w:color="auto"/>
        <w:left w:val="none" w:sz="0" w:space="0" w:color="auto"/>
        <w:bottom w:val="none" w:sz="0" w:space="0" w:color="auto"/>
        <w:right w:val="none" w:sz="0" w:space="0" w:color="auto"/>
      </w:divBdr>
    </w:div>
    <w:div w:id="162407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Sawhney</dc:creator>
  <cp:keywords/>
  <dc:description/>
  <cp:lastModifiedBy>Raj Sawhney</cp:lastModifiedBy>
  <cp:revision>2</cp:revision>
  <dcterms:created xsi:type="dcterms:W3CDTF">2025-05-19T07:00:00Z</dcterms:created>
  <dcterms:modified xsi:type="dcterms:W3CDTF">2025-05-19T18:47:00Z</dcterms:modified>
</cp:coreProperties>
</file>