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5B6D86"/>
          <w:sz w:val="16"/>
        </w:rPr>
        <w:t>EDUCATION HUB · COMPETITIVE POSITION</w:t>
      </w:r>
    </w:p>
    <w:p>
      <w:pPr>
        <w:spacing w:after="120"/>
      </w:pPr>
      <w:r>
        <w:rPr>
          <w:b/>
          <w:color w:val="14213D"/>
          <w:sz w:val="44"/>
        </w:rPr>
        <w:t>How Education Hub compares with the best in the UK</w:t>
      </w:r>
    </w:p>
    <w:p>
      <w:pPr>
        <w:spacing w:after="80"/>
      </w:pPr>
      <w:r>
        <w:rPr>
          <w:color w:val="3C4D66"/>
          <w:sz w:val="21"/>
        </w:rPr>
        <w:t>A comparison against the platforms UK families and schools actually use. The Education Hub column is measured from the codebase and the content tables rather than from a pitch, so the gaps in it are real ones.</w:t>
      </w:r>
    </w:p>
    <w:p>
      <w:pPr>
        <w:spacing w:after="200"/>
      </w:pPr>
      <w:r>
        <w:rPr>
          <w:color w:val="5B6D86"/>
          <w:sz w:val="17"/>
        </w:rPr>
        <w:t>Prepared 19 September 2026</w:t>
      </w:r>
    </w:p>
    <w:p>
      <w:pPr>
        <w:spacing w:before="360" w:after="80"/>
      </w:pPr>
      <w:r>
        <w:rPr>
          <w:b/>
          <w:color w:val="14213D"/>
          <w:sz w:val="28"/>
        </w:rPr>
        <w:t>The headline</w:t>
      </w:r>
    </w:p>
    <w:p>
      <w:pPr>
        <w:spacing w:after="140"/>
      </w:pPr>
      <w:r>
        <w:rPr>
          <w:b/>
          <w:color w:val="14213D"/>
          <w:sz w:val="20"/>
        </w:rPr>
        <w:t xml:space="preserve">The competition is mostly free to the parent. </w:t>
      </w:r>
      <w:r>
        <w:rPr>
          <w:color w:val="3C4D66"/>
          <w:sz w:val="20"/>
        </w:rPr>
        <w:t>Sparx, Century and GCSEPod are bought by schools, so a parent already has them at no cost, and Seneca's core is free outright. The paid direct-to-parent market is much smaller and much more expensive: Tassomai from about £25 a month for a single subject, Up Learn at £49.99 a month for GCSE Science.</w:t>
      </w:r>
    </w:p>
    <w:p>
      <w:pPr>
        <w:spacing w:after="140"/>
      </w:pPr>
      <w:r>
        <w:rPr>
          <w:b/>
          <w:color w:val="14213D"/>
          <w:sz w:val="20"/>
        </w:rPr>
        <w:t xml:space="preserve">Education Hub is the cheapest credible option by a wide margin — </w:t>
      </w:r>
      <w:r>
        <w:rPr>
          <w:color w:val="3C4D66"/>
          <w:sz w:val="20"/>
        </w:rPr>
        <w:t>£9.99 a month for seven subjects — which is both an opportunity and a warning. Every model call is a cost that Century's non-generative recommender does not carry at all.</w:t>
      </w:r>
    </w:p>
    <w:p>
      <w:pPr>
        <w:spacing w:after="140"/>
      </w:pPr>
      <w:r>
        <w:rPr>
          <w:b/>
          <w:color w:val="14213D"/>
          <w:sz w:val="20"/>
        </w:rPr>
        <w:t xml:space="preserve">The one thing none of them does is teach at the point of failure. </w:t>
      </w:r>
      <w:r>
        <w:rPr>
          <w:color w:val="3C4D66"/>
          <w:sz w:val="20"/>
        </w:rPr>
        <w:t>They are drill engines: they mark an answer wrong and serve another question. Sparx's most consistent criticism from students is minimal help when stuck. That gap is the shape of this product.</w:t>
      </w:r>
    </w:p>
    <w:p>
      <w:pPr>
        <w:spacing w:before="360" w:after="80"/>
      </w:pPr>
      <w:r>
        <w:rPr>
          <w:b/>
          <w:color w:val="14213D"/>
          <w:sz w:val="28"/>
        </w:rPr>
        <w:t>What a parent pays each month</w:t>
      </w:r>
    </w:p>
    <w:p>
      <w:pPr>
        <w:spacing w:after="160"/>
      </w:pPr>
      <w:r>
        <w:rPr>
          <w:i/>
          <w:color w:val="5B6D86"/>
          <w:sz w:val="17"/>
        </w:rPr>
        <w:t>School-licensed products cost the parent nothing, which is the price Education Hub is really competing against.</w:t>
      </w:r>
    </w:p>
    <w:tbl>
      <w:tblPr>
        <w:tblStyle w:val="TableGrid"/>
        <w:tblW w:type="auto" w:w="0"/>
        <w:tblLook w:firstColumn="1" w:firstRow="1" w:lastColumn="0" w:lastRow="0" w:noHBand="0" w:noVBand="1" w:val="04A0"/>
      </w:tblPr>
      <w:tblGrid>
        <w:gridCol w:w="5008"/>
        <w:gridCol w:w="5008"/>
        <w:gridCol w:w="5008"/>
      </w:tblGrid>
      <w:tr>
        <w:tc>
          <w:tcPr>
            <w:tcW w:type="dxa" w:w="2835"/>
            <w:shd w:val="clear" w:fill="EEF3F8"/>
          </w:tcPr>
          <w:p>
            <w:pPr>
              <w:spacing w:before="40" w:after="40"/>
              <w:jc w:val="left"/>
            </w:pPr>
            <w:r>
              <w:rPr>
                <w:b/>
                <w:color w:val="14213D"/>
                <w:sz w:val="18"/>
              </w:rPr>
              <w:t>Product</w:t>
            </w:r>
          </w:p>
        </w:tc>
        <w:tc>
          <w:tcPr>
            <w:tcW w:type="dxa" w:w="7654"/>
            <w:shd w:val="clear" w:fill="EEF3F8"/>
          </w:tcPr>
          <w:p>
            <w:pPr>
              <w:spacing w:before="40" w:after="40"/>
              <w:jc w:val="left"/>
            </w:pPr>
            <w:r>
              <w:rPr>
                <w:b/>
                <w:color w:val="14213D"/>
                <w:sz w:val="18"/>
              </w:rPr>
              <w:t>What it is</w:t>
            </w:r>
          </w:p>
        </w:tc>
        <w:tc>
          <w:tcPr>
            <w:tcW w:type="dxa" w:w="4479"/>
            <w:shd w:val="clear" w:fill="EEF3F8"/>
          </w:tcPr>
          <w:p>
            <w:pPr>
              <w:spacing w:before="40" w:after="40"/>
              <w:jc w:val="right"/>
            </w:pPr>
            <w:r>
              <w:rPr>
                <w:b/>
                <w:color w:val="14213D"/>
                <w:sz w:val="18"/>
              </w:rPr>
              <w:t>Cost to the parent</w:t>
            </w:r>
          </w:p>
        </w:tc>
      </w:tr>
      <w:tr>
        <w:tc>
          <w:tcPr>
            <w:tcW w:type="dxa" w:w="2835"/>
          </w:tcPr>
          <w:p>
            <w:pPr>
              <w:spacing w:before="40" w:after="40"/>
              <w:jc w:val="left"/>
            </w:pPr>
            <w:r>
              <w:rPr>
                <w:b w:val="0"/>
                <w:color w:val="14213D"/>
                <w:sz w:val="19"/>
              </w:rPr>
              <w:t>Sparx</w:t>
            </w:r>
          </w:p>
        </w:tc>
        <w:tc>
          <w:tcPr>
            <w:tcW w:type="dxa" w:w="7654"/>
          </w:tcPr>
          <w:p>
            <w:pPr>
              <w:spacing w:before="40" w:after="40"/>
              <w:jc w:val="left"/>
            </w:pPr>
            <w:r>
              <w:rPr>
                <w:b w:val="0"/>
                <w:color w:val="3C4D66"/>
                <w:sz w:val="18"/>
              </w:rPr>
              <w:t>Bought by the school</w:t>
            </w:r>
          </w:p>
        </w:tc>
        <w:tc>
          <w:tcPr>
            <w:tcW w:type="dxa" w:w="4479"/>
          </w:tcPr>
          <w:p>
            <w:pPr>
              <w:spacing w:before="40" w:after="40"/>
              <w:jc w:val="right"/>
            </w:pPr>
            <w:r>
              <w:rPr>
                <w:b w:val="0"/>
                <w:color w:val="14213D"/>
                <w:sz w:val="19"/>
              </w:rPr>
              <w:t>Free to the parent</w:t>
            </w:r>
          </w:p>
        </w:tc>
      </w:tr>
      <w:tr>
        <w:tc>
          <w:tcPr>
            <w:tcW w:type="dxa" w:w="2835"/>
          </w:tcPr>
          <w:p>
            <w:pPr>
              <w:spacing w:before="40" w:after="40"/>
              <w:jc w:val="left"/>
            </w:pPr>
            <w:r>
              <w:rPr>
                <w:b w:val="0"/>
                <w:color w:val="14213D"/>
                <w:sz w:val="19"/>
              </w:rPr>
              <w:t>Century</w:t>
            </w:r>
          </w:p>
        </w:tc>
        <w:tc>
          <w:tcPr>
            <w:tcW w:type="dxa" w:w="7654"/>
          </w:tcPr>
          <w:p>
            <w:pPr>
              <w:spacing w:before="40" w:after="40"/>
              <w:jc w:val="left"/>
            </w:pPr>
            <w:r>
              <w:rPr>
                <w:b w:val="0"/>
                <w:color w:val="3C4D66"/>
                <w:sz w:val="18"/>
              </w:rPr>
              <w:t>Bought by the school</w:t>
            </w:r>
          </w:p>
        </w:tc>
        <w:tc>
          <w:tcPr>
            <w:tcW w:type="dxa" w:w="4479"/>
          </w:tcPr>
          <w:p>
            <w:pPr>
              <w:spacing w:before="40" w:after="40"/>
              <w:jc w:val="right"/>
            </w:pPr>
            <w:r>
              <w:rPr>
                <w:b w:val="0"/>
                <w:color w:val="14213D"/>
                <w:sz w:val="19"/>
              </w:rPr>
              <w:t>Free to the parent</w:t>
            </w:r>
          </w:p>
        </w:tc>
      </w:tr>
      <w:tr>
        <w:tc>
          <w:tcPr>
            <w:tcW w:type="dxa" w:w="2835"/>
          </w:tcPr>
          <w:p>
            <w:pPr>
              <w:spacing w:before="40" w:after="40"/>
              <w:jc w:val="left"/>
            </w:pPr>
            <w:r>
              <w:rPr>
                <w:b w:val="0"/>
                <w:color w:val="14213D"/>
                <w:sz w:val="19"/>
              </w:rPr>
              <w:t>GCSEPod</w:t>
            </w:r>
          </w:p>
        </w:tc>
        <w:tc>
          <w:tcPr>
            <w:tcW w:type="dxa" w:w="7654"/>
          </w:tcPr>
          <w:p>
            <w:pPr>
              <w:spacing w:before="40" w:after="40"/>
              <w:jc w:val="left"/>
            </w:pPr>
            <w:r>
              <w:rPr>
                <w:b w:val="0"/>
                <w:color w:val="3C4D66"/>
                <w:sz w:val="18"/>
              </w:rPr>
              <w:t>Bought by the school</w:t>
            </w:r>
          </w:p>
        </w:tc>
        <w:tc>
          <w:tcPr>
            <w:tcW w:type="dxa" w:w="4479"/>
          </w:tcPr>
          <w:p>
            <w:pPr>
              <w:spacing w:before="40" w:after="40"/>
              <w:jc w:val="right"/>
            </w:pPr>
            <w:r>
              <w:rPr>
                <w:b w:val="0"/>
                <w:color w:val="14213D"/>
                <w:sz w:val="19"/>
              </w:rPr>
              <w:t>Free to the parent</w:t>
            </w:r>
          </w:p>
        </w:tc>
      </w:tr>
      <w:tr>
        <w:tc>
          <w:tcPr>
            <w:tcW w:type="dxa" w:w="2835"/>
          </w:tcPr>
          <w:p>
            <w:pPr>
              <w:spacing w:before="40" w:after="40"/>
              <w:jc w:val="left"/>
            </w:pPr>
            <w:r>
              <w:rPr>
                <w:b w:val="0"/>
                <w:color w:val="14213D"/>
                <w:sz w:val="19"/>
              </w:rPr>
              <w:t>Seneca</w:t>
            </w:r>
          </w:p>
        </w:tc>
        <w:tc>
          <w:tcPr>
            <w:tcW w:type="dxa" w:w="7654"/>
          </w:tcPr>
          <w:p>
            <w:pPr>
              <w:spacing w:before="40" w:after="40"/>
              <w:jc w:val="left"/>
            </w:pPr>
            <w:r>
              <w:rPr>
                <w:b w:val="0"/>
                <w:color w:val="3C4D66"/>
                <w:sz w:val="18"/>
              </w:rPr>
              <w:t>Free tier, core product</w:t>
            </w:r>
          </w:p>
        </w:tc>
        <w:tc>
          <w:tcPr>
            <w:tcW w:type="dxa" w:w="4479"/>
          </w:tcPr>
          <w:p>
            <w:pPr>
              <w:spacing w:before="40" w:after="40"/>
              <w:jc w:val="right"/>
            </w:pPr>
            <w:r>
              <w:rPr>
                <w:b w:val="0"/>
                <w:color w:val="14213D"/>
                <w:sz w:val="19"/>
              </w:rPr>
              <w:t>Free</w:t>
            </w:r>
          </w:p>
        </w:tc>
      </w:tr>
      <w:tr>
        <w:tc>
          <w:tcPr>
            <w:tcW w:type="dxa" w:w="2835"/>
            <w:shd w:val="clear" w:fill="F2F9F9"/>
          </w:tcPr>
          <w:p>
            <w:pPr>
              <w:spacing w:before="40" w:after="40"/>
              <w:jc w:val="left"/>
            </w:pPr>
            <w:r>
              <w:rPr>
                <w:b/>
                <w:color w:val="0F5F63"/>
                <w:sz w:val="19"/>
              </w:rPr>
              <w:t>Education Hub</w:t>
            </w:r>
          </w:p>
        </w:tc>
        <w:tc>
          <w:tcPr>
            <w:tcW w:type="dxa" w:w="7654"/>
            <w:shd w:val="clear" w:fill="F2F9F9"/>
          </w:tcPr>
          <w:p>
            <w:pPr>
              <w:spacing w:before="40" w:after="40"/>
              <w:jc w:val="left"/>
            </w:pPr>
            <w:r>
              <w:rPr>
                <w:b w:val="0"/>
                <w:color w:val="3C4D66"/>
                <w:sz w:val="18"/>
              </w:rPr>
              <w:t>7 subjects, KS3-GCSE</w:t>
            </w:r>
          </w:p>
        </w:tc>
        <w:tc>
          <w:tcPr>
            <w:tcW w:type="dxa" w:w="4479"/>
            <w:shd w:val="clear" w:fill="F2F9F9"/>
          </w:tcPr>
          <w:p>
            <w:pPr>
              <w:spacing w:before="40" w:after="40"/>
              <w:jc w:val="right"/>
            </w:pPr>
            <w:r>
              <w:rPr>
                <w:b/>
                <w:color w:val="0F5F63"/>
                <w:sz w:val="19"/>
              </w:rPr>
              <w:t>£9.99 / month</w:t>
            </w:r>
          </w:p>
        </w:tc>
      </w:tr>
      <w:tr>
        <w:tc>
          <w:tcPr>
            <w:tcW w:type="dxa" w:w="2835"/>
          </w:tcPr>
          <w:p>
            <w:pPr>
              <w:spacing w:before="40" w:after="40"/>
              <w:jc w:val="left"/>
            </w:pPr>
            <w:r>
              <w:rPr>
                <w:b w:val="0"/>
                <w:color w:val="14213D"/>
                <w:sz w:val="19"/>
              </w:rPr>
              <w:t>Seneca Premium</w:t>
            </w:r>
          </w:p>
        </w:tc>
        <w:tc>
          <w:tcPr>
            <w:tcW w:type="dxa" w:w="7654"/>
          </w:tcPr>
          <w:p>
            <w:pPr>
              <w:spacing w:before="40" w:after="40"/>
              <w:jc w:val="left"/>
            </w:pPr>
            <w:r>
              <w:rPr>
                <w:b w:val="0"/>
                <w:color w:val="3C4D66"/>
                <w:sz w:val="18"/>
              </w:rPr>
              <w:t>Plus a £5.99 grade guarantee</w:t>
            </w:r>
          </w:p>
        </w:tc>
        <w:tc>
          <w:tcPr>
            <w:tcW w:type="dxa" w:w="4479"/>
          </w:tcPr>
          <w:p>
            <w:pPr>
              <w:spacing w:before="40" w:after="40"/>
              <w:jc w:val="right"/>
            </w:pPr>
            <w:r>
              <w:rPr>
                <w:b w:val="0"/>
                <w:color w:val="14213D"/>
                <w:sz w:val="19"/>
              </w:rPr>
              <w:t>~£11.99 / month</w:t>
            </w:r>
          </w:p>
        </w:tc>
      </w:tr>
      <w:tr>
        <w:tc>
          <w:tcPr>
            <w:tcW w:type="dxa" w:w="2835"/>
          </w:tcPr>
          <w:p>
            <w:pPr>
              <w:spacing w:before="40" w:after="40"/>
              <w:jc w:val="left"/>
            </w:pPr>
            <w:r>
              <w:rPr>
                <w:b w:val="0"/>
                <w:color w:val="14213D"/>
                <w:sz w:val="19"/>
              </w:rPr>
              <w:t>Atom Learning</w:t>
            </w:r>
          </w:p>
        </w:tc>
        <w:tc>
          <w:tcPr>
            <w:tcW w:type="dxa" w:w="7654"/>
          </w:tcPr>
          <w:p>
            <w:pPr>
              <w:spacing w:before="40" w:after="40"/>
              <w:jc w:val="left"/>
            </w:pPr>
            <w:r>
              <w:rPr>
                <w:b w:val="0"/>
                <w:color w:val="3C4D66"/>
                <w:sz w:val="18"/>
              </w:rPr>
              <w:t>Entry tier, 11+ focus</w:t>
            </w:r>
          </w:p>
        </w:tc>
        <w:tc>
          <w:tcPr>
            <w:tcW w:type="dxa" w:w="4479"/>
          </w:tcPr>
          <w:p>
            <w:pPr>
              <w:spacing w:before="40" w:after="40"/>
              <w:jc w:val="right"/>
            </w:pPr>
            <w:r>
              <w:rPr>
                <w:b w:val="0"/>
                <w:color w:val="14213D"/>
                <w:sz w:val="19"/>
              </w:rPr>
              <w:t>£19.99 / month</w:t>
            </w:r>
          </w:p>
        </w:tc>
      </w:tr>
      <w:tr>
        <w:tc>
          <w:tcPr>
            <w:tcW w:type="dxa" w:w="2835"/>
          </w:tcPr>
          <w:p>
            <w:pPr>
              <w:spacing w:before="40" w:after="40"/>
              <w:jc w:val="left"/>
            </w:pPr>
            <w:r>
              <w:rPr>
                <w:b w:val="0"/>
                <w:color w:val="14213D"/>
                <w:sz w:val="19"/>
              </w:rPr>
              <w:t>Tassomai</w:t>
            </w:r>
          </w:p>
        </w:tc>
        <w:tc>
          <w:tcPr>
            <w:tcW w:type="dxa" w:w="7654"/>
          </w:tcPr>
          <w:p>
            <w:pPr>
              <w:spacing w:before="40" w:after="40"/>
              <w:jc w:val="left"/>
            </w:pPr>
            <w:r>
              <w:rPr>
                <w:b w:val="0"/>
                <w:color w:val="3C4D66"/>
                <w:sz w:val="18"/>
              </w:rPr>
              <w:t>One subject only</w:t>
            </w:r>
          </w:p>
        </w:tc>
        <w:tc>
          <w:tcPr>
            <w:tcW w:type="dxa" w:w="4479"/>
          </w:tcPr>
          <w:p>
            <w:pPr>
              <w:spacing w:before="40" w:after="40"/>
              <w:jc w:val="right"/>
            </w:pPr>
            <w:r>
              <w:rPr>
                <w:b w:val="0"/>
                <w:color w:val="14213D"/>
                <w:sz w:val="19"/>
              </w:rPr>
              <w:t>~£25 / month</w:t>
            </w:r>
          </w:p>
        </w:tc>
      </w:tr>
      <w:tr>
        <w:tc>
          <w:tcPr>
            <w:tcW w:type="dxa" w:w="2835"/>
          </w:tcPr>
          <w:p>
            <w:pPr>
              <w:spacing w:before="40" w:after="40"/>
              <w:jc w:val="left"/>
            </w:pPr>
            <w:r>
              <w:rPr>
                <w:b w:val="0"/>
                <w:color w:val="14213D"/>
                <w:sz w:val="19"/>
              </w:rPr>
              <w:t>Up Learn</w:t>
            </w:r>
          </w:p>
        </w:tc>
        <w:tc>
          <w:tcPr>
            <w:tcW w:type="dxa" w:w="7654"/>
          </w:tcPr>
          <w:p>
            <w:pPr>
              <w:spacing w:before="40" w:after="40"/>
              <w:jc w:val="left"/>
            </w:pPr>
            <w:r>
              <w:rPr>
                <w:b w:val="0"/>
                <w:color w:val="3C4D66"/>
                <w:sz w:val="18"/>
              </w:rPr>
              <w:t>GCSE Science</w:t>
            </w:r>
          </w:p>
        </w:tc>
        <w:tc>
          <w:tcPr>
            <w:tcW w:type="dxa" w:w="4479"/>
          </w:tcPr>
          <w:p>
            <w:pPr>
              <w:spacing w:before="40" w:after="40"/>
              <w:jc w:val="right"/>
            </w:pPr>
            <w:r>
              <w:rPr>
                <w:b w:val="0"/>
                <w:color w:val="14213D"/>
                <w:sz w:val="19"/>
              </w:rPr>
              <w:t>£49.99 / month</w:t>
            </w:r>
          </w:p>
        </w:tc>
      </w:tr>
    </w:tbl>
    <w:p>
      <w:r>
        <w:br w:type="page"/>
      </w:r>
    </w:p>
    <w:p>
      <w:pPr>
        <w:spacing w:before="360" w:after="80"/>
      </w:pPr>
      <w:r>
        <w:rPr>
          <w:b/>
          <w:color w:val="14213D"/>
          <w:sz w:val="28"/>
        </w:rPr>
        <w:t>Capability by capability</w:t>
      </w:r>
    </w:p>
    <w:p>
      <w:pPr>
        <w:spacing w:after="160"/>
      </w:pPr>
      <w:r>
        <w:rPr>
          <w:i/>
          <w:color w:val="5B6D86"/>
          <w:sz w:val="17"/>
        </w:rPr>
        <w:t>Where a competitor's position could not be confirmed from public sources it is marked as such rather than guessed.</w:t>
      </w:r>
    </w:p>
    <w:tbl>
      <w:tblPr>
        <w:tblStyle w:val="TableGrid"/>
        <w:tblW w:type="auto" w:w="0"/>
        <w:tblLook w:firstColumn="1" w:firstRow="1" w:lastColumn="0" w:lastRow="0" w:noHBand="0" w:noVBand="1" w:val="04A0"/>
      </w:tblPr>
      <w:tblGrid>
        <w:gridCol w:w="1878"/>
        <w:gridCol w:w="1878"/>
        <w:gridCol w:w="1878"/>
        <w:gridCol w:w="1878"/>
        <w:gridCol w:w="1878"/>
        <w:gridCol w:w="1878"/>
        <w:gridCol w:w="1878"/>
        <w:gridCol w:w="1878"/>
      </w:tblGrid>
      <w:tr>
        <w:tc>
          <w:tcPr>
            <w:tcW w:type="dxa" w:w="2948"/>
            <w:shd w:val="clear" w:fill="EEF3F8"/>
          </w:tcPr>
          <w:p>
            <w:pPr>
              <w:spacing w:before="40" w:after="40"/>
              <w:jc w:val="left"/>
            </w:pPr>
            <w:r>
              <w:rPr>
                <w:b/>
                <w:color w:val="14213D"/>
                <w:sz w:val="16"/>
              </w:rPr>
              <w:t>Capability</w:t>
            </w:r>
          </w:p>
        </w:tc>
        <w:tc>
          <w:tcPr>
            <w:tcW w:type="dxa" w:w="1701"/>
            <w:shd w:val="clear" w:fill="E4F1F1"/>
          </w:tcPr>
          <w:p>
            <w:pPr>
              <w:spacing w:before="40" w:after="40"/>
              <w:jc w:val="center"/>
            </w:pPr>
            <w:r>
              <w:rPr>
                <w:b/>
                <w:color w:val="0F5F63"/>
                <w:sz w:val="16"/>
              </w:rPr>
              <w:t>Education Hub</w:t>
            </w:r>
          </w:p>
          <w:p>
            <w:pPr>
              <w:spacing w:before="0" w:after="40"/>
            </w:pPr>
            <w:r>
              <w:rPr>
                <w:color w:val="5B6D86"/>
                <w:sz w:val="12"/>
              </w:rPr>
              <w:t>parent pays</w:t>
            </w:r>
          </w:p>
        </w:tc>
        <w:tc>
          <w:tcPr>
            <w:tcW w:type="dxa" w:w="1701"/>
            <w:shd w:val="clear" w:fill="EEF3F8"/>
          </w:tcPr>
          <w:p>
            <w:pPr>
              <w:spacing w:before="40" w:after="40"/>
              <w:jc w:val="center"/>
            </w:pPr>
            <w:r>
              <w:rPr>
                <w:b/>
                <w:color w:val="14213D"/>
                <w:sz w:val="16"/>
              </w:rPr>
              <w:t>Sparx</w:t>
            </w:r>
          </w:p>
          <w:p>
            <w:pPr>
              <w:spacing w:before="0" w:after="40"/>
            </w:pPr>
            <w:r>
              <w:rPr>
                <w:color w:val="5B6D86"/>
                <w:sz w:val="12"/>
              </w:rPr>
              <w:t>school buys</w:t>
            </w:r>
          </w:p>
        </w:tc>
        <w:tc>
          <w:tcPr>
            <w:tcW w:type="dxa" w:w="1701"/>
            <w:shd w:val="clear" w:fill="EEF3F8"/>
          </w:tcPr>
          <w:p>
            <w:pPr>
              <w:spacing w:before="40" w:after="40"/>
              <w:jc w:val="center"/>
            </w:pPr>
            <w:r>
              <w:rPr>
                <w:b/>
                <w:color w:val="14213D"/>
                <w:sz w:val="16"/>
              </w:rPr>
              <w:t>Century</w:t>
            </w:r>
          </w:p>
          <w:p>
            <w:pPr>
              <w:spacing w:before="0" w:after="40"/>
            </w:pPr>
            <w:r>
              <w:rPr>
                <w:color w:val="5B6D86"/>
                <w:sz w:val="12"/>
              </w:rPr>
              <w:t>school buys</w:t>
            </w:r>
          </w:p>
        </w:tc>
        <w:tc>
          <w:tcPr>
            <w:tcW w:type="dxa" w:w="1701"/>
            <w:shd w:val="clear" w:fill="EEF3F8"/>
          </w:tcPr>
          <w:p>
            <w:pPr>
              <w:spacing w:before="40" w:after="40"/>
              <w:jc w:val="center"/>
            </w:pPr>
            <w:r>
              <w:rPr>
                <w:b/>
                <w:color w:val="14213D"/>
                <w:sz w:val="16"/>
              </w:rPr>
              <w:t>Seneca</w:t>
            </w:r>
          </w:p>
          <w:p>
            <w:pPr>
              <w:spacing w:before="0" w:after="40"/>
            </w:pPr>
            <w:r>
              <w:rPr>
                <w:color w:val="5B6D86"/>
                <w:sz w:val="12"/>
              </w:rPr>
              <w:t>free + premium</w:t>
            </w:r>
          </w:p>
        </w:tc>
        <w:tc>
          <w:tcPr>
            <w:tcW w:type="dxa" w:w="1701"/>
            <w:shd w:val="clear" w:fill="EEF3F8"/>
          </w:tcPr>
          <w:p>
            <w:pPr>
              <w:spacing w:before="40" w:after="40"/>
              <w:jc w:val="center"/>
            </w:pPr>
            <w:r>
              <w:rPr>
                <w:b/>
                <w:color w:val="14213D"/>
                <w:sz w:val="16"/>
              </w:rPr>
              <w:t>Tassomai</w:t>
            </w:r>
          </w:p>
          <w:p>
            <w:pPr>
              <w:spacing w:before="0" w:after="40"/>
            </w:pPr>
            <w:r>
              <w:rPr>
                <w:color w:val="5B6D86"/>
                <w:sz w:val="12"/>
              </w:rPr>
              <w:t>parent pays</w:t>
            </w:r>
          </w:p>
        </w:tc>
        <w:tc>
          <w:tcPr>
            <w:tcW w:type="dxa" w:w="1701"/>
            <w:shd w:val="clear" w:fill="EEF3F8"/>
          </w:tcPr>
          <w:p>
            <w:pPr>
              <w:spacing w:before="40" w:after="40"/>
              <w:jc w:val="center"/>
            </w:pPr>
            <w:r>
              <w:rPr>
                <w:b/>
                <w:color w:val="14213D"/>
                <w:sz w:val="16"/>
              </w:rPr>
              <w:t>GCSEPod</w:t>
            </w:r>
          </w:p>
          <w:p>
            <w:pPr>
              <w:spacing w:before="0" w:after="40"/>
            </w:pPr>
            <w:r>
              <w:rPr>
                <w:color w:val="5B6D86"/>
                <w:sz w:val="12"/>
              </w:rPr>
              <w:t>school buys</w:t>
            </w:r>
          </w:p>
        </w:tc>
        <w:tc>
          <w:tcPr>
            <w:tcW w:type="dxa" w:w="1701"/>
            <w:shd w:val="clear" w:fill="EEF3F8"/>
          </w:tcPr>
          <w:p>
            <w:pPr>
              <w:spacing w:before="40" w:after="40"/>
              <w:jc w:val="center"/>
            </w:pPr>
            <w:r>
              <w:rPr>
                <w:b/>
                <w:color w:val="14213D"/>
                <w:sz w:val="16"/>
              </w:rPr>
              <w:t>Up Learn</w:t>
            </w:r>
          </w:p>
          <w:p>
            <w:pPr>
              <w:spacing w:before="0" w:after="40"/>
            </w:pPr>
            <w:r>
              <w:rPr>
                <w:color w:val="5B6D86"/>
                <w:sz w:val="12"/>
              </w:rPr>
              <w:t>parent pays</w:t>
            </w:r>
          </w:p>
        </w:tc>
      </w:tr>
      <w:tr>
        <w:tc>
          <w:tcPr>
            <w:tcW w:type="dxa" w:w="2948"/>
          </w:tcPr>
          <w:p>
            <w:pPr>
              <w:spacing w:before="40" w:after="40"/>
              <w:jc w:val="left"/>
            </w:pPr>
            <w:r>
              <w:rPr>
                <w:b/>
                <w:color w:val="14213D"/>
                <w:sz w:val="16"/>
              </w:rPr>
              <w:t>Teaches when a learner is stuck</w:t>
            </w:r>
          </w:p>
          <w:p>
            <w:pPr>
              <w:spacing w:before="0" w:after="40"/>
            </w:pPr>
            <w:r>
              <w:rPr>
                <w:color w:val="5B6D86"/>
                <w:sz w:val="13"/>
              </w:rPr>
              <w:t>Conversational explanation on demand, not just a verdict</w:t>
            </w:r>
          </w:p>
        </w:tc>
        <w:tc>
          <w:tcPr>
            <w:tcW w:type="dxa" w:w="1701"/>
            <w:shd w:val="clear" w:fill="E8F3EC"/>
            <w:vAlign w:val="center"/>
          </w:tcPr>
          <w:p>
            <w:pPr>
              <w:spacing w:before="40" w:after="40"/>
              <w:jc w:val="center"/>
            </w:pPr>
            <w:r>
              <w:rPr>
                <w:b/>
                <w:color w:val="1F6B3A"/>
                <w:sz w:val="14"/>
              </w:rPr>
              <w:t>Tutor, four modes</w:t>
            </w:r>
          </w:p>
        </w:tc>
        <w:tc>
          <w:tcPr>
            <w:tcW w:type="dxa" w:w="1701"/>
            <w:shd w:val="clear" w:fill="FBECEB"/>
            <w:vAlign w:val="center"/>
          </w:tcPr>
          <w:p>
            <w:pPr>
              <w:spacing w:before="40" w:after="40"/>
              <w:jc w:val="center"/>
            </w:pPr>
            <w:r>
              <w:rPr>
                <w:b w:val="0"/>
                <w:color w:val="9F2D24"/>
                <w:sz w:val="14"/>
              </w:rPr>
              <w:t>Minimal help; most cited complaint</w:t>
            </w:r>
          </w:p>
        </w:tc>
        <w:tc>
          <w:tcPr>
            <w:tcW w:type="dxa" w:w="1701"/>
            <w:shd w:val="clear" w:fill="FAF1E0"/>
            <w:vAlign w:val="center"/>
          </w:tcPr>
          <w:p>
            <w:pPr>
              <w:spacing w:before="40" w:after="40"/>
              <w:jc w:val="center"/>
            </w:pPr>
            <w:r>
              <w:rPr>
                <w:b w:val="0"/>
                <w:color w:val="8A5807"/>
                <w:sz w:val="14"/>
              </w:rPr>
              <w:t>Static explanation after a wrong answer</w:t>
            </w:r>
          </w:p>
        </w:tc>
        <w:tc>
          <w:tcPr>
            <w:tcW w:type="dxa" w:w="1701"/>
            <w:shd w:val="clear" w:fill="FAF1E0"/>
            <w:vAlign w:val="center"/>
          </w:tcPr>
          <w:p>
            <w:pPr>
              <w:spacing w:before="40" w:after="40"/>
              <w:jc w:val="center"/>
            </w:pPr>
            <w:r>
              <w:rPr>
                <w:b w:val="0"/>
                <w:color w:val="8A5807"/>
                <w:sz w:val="14"/>
              </w:rPr>
              <w:t>Notes and correct answer</w:t>
            </w:r>
          </w:p>
        </w:tc>
        <w:tc>
          <w:tcPr>
            <w:tcW w:type="dxa" w:w="1701"/>
            <w:shd w:val="clear" w:fill="FAF1E0"/>
            <w:vAlign w:val="center"/>
          </w:tcPr>
          <w:p>
            <w:pPr>
              <w:spacing w:before="40" w:after="40"/>
              <w:jc w:val="center"/>
            </w:pPr>
            <w:r>
              <w:rPr>
                <w:b w:val="0"/>
                <w:color w:val="8A5807"/>
                <w:sz w:val="14"/>
              </w:rPr>
              <w:t>Explanation per question</w:t>
            </w:r>
          </w:p>
        </w:tc>
        <w:tc>
          <w:tcPr>
            <w:tcW w:type="dxa" w:w="1701"/>
            <w:shd w:val="clear" w:fill="FAF1E0"/>
            <w:vAlign w:val="center"/>
          </w:tcPr>
          <w:p>
            <w:pPr>
              <w:spacing w:before="40" w:after="40"/>
              <w:jc w:val="center"/>
            </w:pPr>
            <w:r>
              <w:rPr>
                <w:b w:val="0"/>
                <w:color w:val="8A5807"/>
                <w:sz w:val="14"/>
              </w:rPr>
              <w:t>Video pod on the topic</w:t>
            </w:r>
          </w:p>
        </w:tc>
        <w:tc>
          <w:tcPr>
            <w:tcW w:type="dxa" w:w="1701"/>
            <w:shd w:val="clear" w:fill="E8F3EC"/>
            <w:vAlign w:val="center"/>
          </w:tcPr>
          <w:p>
            <w:pPr>
              <w:spacing w:before="40" w:after="40"/>
              <w:jc w:val="center"/>
            </w:pPr>
            <w:r>
              <w:rPr>
                <w:b w:val="0"/>
                <w:color w:val="1F6B3A"/>
                <w:sz w:val="14"/>
              </w:rPr>
              <w:t>Taught video course</w:t>
            </w:r>
          </w:p>
        </w:tc>
      </w:tr>
      <w:tr>
        <w:tc>
          <w:tcPr>
            <w:tcW w:type="dxa" w:w="2948"/>
          </w:tcPr>
          <w:p>
            <w:pPr>
              <w:spacing w:before="40" w:after="40"/>
              <w:jc w:val="left"/>
            </w:pPr>
            <w:r>
              <w:rPr>
                <w:b/>
                <w:color w:val="14213D"/>
                <w:sz w:val="16"/>
              </w:rPr>
              <w:t>Subjects covered</w:t>
            </w:r>
          </w:p>
          <w:p>
            <w:pPr>
              <w:spacing w:before="0" w:after="40"/>
            </w:pPr>
            <w:r>
              <w:rPr>
                <w:color w:val="5B6D86"/>
                <w:sz w:val="13"/>
              </w:rPr>
              <w:t>Breadth at KS3 to GCSE</w:t>
            </w:r>
          </w:p>
        </w:tc>
        <w:tc>
          <w:tcPr>
            <w:tcW w:type="dxa" w:w="1701"/>
            <w:shd w:val="clear" w:fill="E8F3EC"/>
            <w:vAlign w:val="center"/>
          </w:tcPr>
          <w:p>
            <w:pPr>
              <w:spacing w:before="40" w:after="40"/>
              <w:jc w:val="center"/>
            </w:pPr>
            <w:r>
              <w:rPr>
                <w:b/>
                <w:color w:val="1F6B3A"/>
                <w:sz w:val="14"/>
              </w:rPr>
              <w:t>7 subjects, Years 7-11</w:t>
            </w:r>
          </w:p>
        </w:tc>
        <w:tc>
          <w:tcPr>
            <w:tcW w:type="dxa" w:w="1701"/>
            <w:shd w:val="clear" w:fill="FAF1E0"/>
            <w:vAlign w:val="center"/>
          </w:tcPr>
          <w:p>
            <w:pPr>
              <w:spacing w:before="40" w:after="40"/>
              <w:jc w:val="center"/>
            </w:pPr>
            <w:r>
              <w:rPr>
                <w:b w:val="0"/>
                <w:color w:val="8A5807"/>
                <w:sz w:val="14"/>
              </w:rPr>
              <w:t>Maths, Science, Reader</w:t>
            </w:r>
          </w:p>
        </w:tc>
        <w:tc>
          <w:tcPr>
            <w:tcW w:type="dxa" w:w="1701"/>
            <w:shd w:val="clear" w:fill="FAF1E0"/>
            <w:vAlign w:val="center"/>
          </w:tcPr>
          <w:p>
            <w:pPr>
              <w:spacing w:before="40" w:after="40"/>
              <w:jc w:val="center"/>
            </w:pPr>
            <w:r>
              <w:rPr>
                <w:b w:val="0"/>
                <w:color w:val="8A5807"/>
                <w:sz w:val="14"/>
              </w:rPr>
              <w:t>English, Maths, Science, Geography, PE</w:t>
            </w:r>
          </w:p>
        </w:tc>
        <w:tc>
          <w:tcPr>
            <w:tcW w:type="dxa" w:w="1701"/>
            <w:shd w:val="clear" w:fill="E8F3EC"/>
            <w:vAlign w:val="center"/>
          </w:tcPr>
          <w:p>
            <w:pPr>
              <w:spacing w:before="40" w:after="40"/>
              <w:jc w:val="center"/>
            </w:pPr>
            <w:r>
              <w:rPr>
                <w:b w:val="0"/>
                <w:color w:val="1F6B3A"/>
                <w:sz w:val="14"/>
              </w:rPr>
              <w:t>Very broad, KS2 to A level</w:t>
            </w:r>
          </w:p>
        </w:tc>
        <w:tc>
          <w:tcPr>
            <w:tcW w:type="dxa" w:w="1701"/>
            <w:shd w:val="clear" w:fill="FAF1E0"/>
            <w:vAlign w:val="center"/>
          </w:tcPr>
          <w:p>
            <w:pPr>
              <w:spacing w:before="40" w:after="40"/>
              <w:jc w:val="center"/>
            </w:pPr>
            <w:r>
              <w:rPr>
                <w:b w:val="0"/>
                <w:color w:val="8A5807"/>
                <w:sz w:val="14"/>
              </w:rPr>
              <w:t>Science, Maths, English</w:t>
            </w:r>
          </w:p>
        </w:tc>
        <w:tc>
          <w:tcPr>
            <w:tcW w:type="dxa" w:w="1701"/>
            <w:shd w:val="clear" w:fill="E8F3EC"/>
            <w:vAlign w:val="center"/>
          </w:tcPr>
          <w:p>
            <w:pPr>
              <w:spacing w:before="40" w:after="40"/>
              <w:jc w:val="center"/>
            </w:pPr>
            <w:r>
              <w:rPr>
                <w:b w:val="0"/>
                <w:color w:val="1F6B3A"/>
                <w:sz w:val="14"/>
              </w:rPr>
              <w:t>Broad GCSE range</w:t>
            </w:r>
          </w:p>
        </w:tc>
        <w:tc>
          <w:tcPr>
            <w:tcW w:type="dxa" w:w="1701"/>
            <w:shd w:val="clear" w:fill="FBECEB"/>
            <w:vAlign w:val="center"/>
          </w:tcPr>
          <w:p>
            <w:pPr>
              <w:spacing w:before="40" w:after="40"/>
              <w:jc w:val="center"/>
            </w:pPr>
            <w:r>
              <w:rPr>
                <w:b w:val="0"/>
                <w:color w:val="9F2D24"/>
                <w:sz w:val="14"/>
              </w:rPr>
              <w:t>Science, some A level</w:t>
            </w:r>
          </w:p>
        </w:tc>
      </w:tr>
      <w:tr>
        <w:tc>
          <w:tcPr>
            <w:tcW w:type="dxa" w:w="2948"/>
          </w:tcPr>
          <w:p>
            <w:pPr>
              <w:spacing w:before="40" w:after="40"/>
              <w:jc w:val="left"/>
            </w:pPr>
            <w:r>
              <w:rPr>
                <w:b/>
                <w:color w:val="14213D"/>
                <w:sz w:val="16"/>
              </w:rPr>
              <w:t>Exam board and tier aware</w:t>
            </w:r>
          </w:p>
          <w:p>
            <w:pPr>
              <w:spacing w:before="0" w:after="40"/>
            </w:pPr>
            <w:r>
              <w:rPr>
                <w:color w:val="5B6D86"/>
                <w:sz w:val="13"/>
              </w:rPr>
              <w:t>AQA / Edexcel / OCR, Foundation and Higher</w:t>
            </w:r>
          </w:p>
        </w:tc>
        <w:tc>
          <w:tcPr>
            <w:tcW w:type="dxa" w:w="1701"/>
            <w:shd w:val="clear" w:fill="E8F3EC"/>
            <w:vAlign w:val="center"/>
          </w:tcPr>
          <w:p>
            <w:pPr>
              <w:spacing w:before="40" w:after="40"/>
              <w:jc w:val="center"/>
            </w:pPr>
            <w:r>
              <w:rPr>
                <w:b/>
                <w:color w:val="1F6B3A"/>
                <w:sz w:val="14"/>
              </w:rPr>
              <w:t>Per subject, board and tier</w:t>
            </w:r>
          </w:p>
        </w:tc>
        <w:tc>
          <w:tcPr>
            <w:tcW w:type="dxa" w:w="1701"/>
            <w:shd w:val="clear" w:fill="E8F3EC"/>
            <w:vAlign w:val="center"/>
          </w:tcPr>
          <w:p>
            <w:pPr>
              <w:spacing w:before="40" w:after="40"/>
              <w:jc w:val="center"/>
            </w:pPr>
            <w:r>
              <w:rPr>
                <w:b w:val="0"/>
                <w:color w:val="1F6B3A"/>
                <w:sz w:val="14"/>
              </w:rPr>
              <w:t>Aligned to school scheme</w:t>
            </w:r>
          </w:p>
        </w:tc>
        <w:tc>
          <w:tcPr>
            <w:tcW w:type="dxa" w:w="1701"/>
            <w:shd w:val="clear" w:fill="FAF1E0"/>
            <w:vAlign w:val="center"/>
          </w:tcPr>
          <w:p>
            <w:pPr>
              <w:spacing w:before="40" w:after="40"/>
              <w:jc w:val="center"/>
            </w:pPr>
            <w:r>
              <w:rPr>
                <w:b w:val="0"/>
                <w:color w:val="8A5807"/>
                <w:sz w:val="14"/>
              </w:rPr>
              <w:t>Curriculum aligned</w:t>
            </w:r>
          </w:p>
        </w:tc>
        <w:tc>
          <w:tcPr>
            <w:tcW w:type="dxa" w:w="1701"/>
            <w:shd w:val="clear" w:fill="E8F3EC"/>
            <w:vAlign w:val="center"/>
          </w:tcPr>
          <w:p>
            <w:pPr>
              <w:spacing w:before="40" w:after="40"/>
              <w:jc w:val="center"/>
            </w:pPr>
            <w:r>
              <w:rPr>
                <w:b w:val="0"/>
                <w:color w:val="1F6B3A"/>
                <w:sz w:val="14"/>
              </w:rPr>
              <w:t>By board</w:t>
            </w:r>
          </w:p>
        </w:tc>
        <w:tc>
          <w:tcPr>
            <w:tcW w:type="dxa" w:w="1701"/>
            <w:shd w:val="clear" w:fill="E8F3EC"/>
            <w:vAlign w:val="center"/>
          </w:tcPr>
          <w:p>
            <w:pPr>
              <w:spacing w:before="40" w:after="40"/>
              <w:jc w:val="center"/>
            </w:pPr>
            <w:r>
              <w:rPr>
                <w:b w:val="0"/>
                <w:color w:val="1F6B3A"/>
                <w:sz w:val="14"/>
              </w:rPr>
              <w:t>By board</w:t>
            </w:r>
          </w:p>
        </w:tc>
        <w:tc>
          <w:tcPr>
            <w:tcW w:type="dxa" w:w="1701"/>
            <w:shd w:val="clear" w:fill="E8F3EC"/>
            <w:vAlign w:val="center"/>
          </w:tcPr>
          <w:p>
            <w:pPr>
              <w:spacing w:before="40" w:after="40"/>
              <w:jc w:val="center"/>
            </w:pPr>
            <w:r>
              <w:rPr>
                <w:b w:val="0"/>
                <w:color w:val="1F6B3A"/>
                <w:sz w:val="14"/>
              </w:rPr>
              <w:t>By board</w:t>
            </w:r>
          </w:p>
        </w:tc>
        <w:tc>
          <w:tcPr>
            <w:tcW w:type="dxa" w:w="1701"/>
            <w:shd w:val="clear" w:fill="E8F3EC"/>
            <w:vAlign w:val="center"/>
          </w:tcPr>
          <w:p>
            <w:pPr>
              <w:spacing w:before="40" w:after="40"/>
              <w:jc w:val="center"/>
            </w:pPr>
            <w:r>
              <w:rPr>
                <w:b w:val="0"/>
                <w:color w:val="1F6B3A"/>
                <w:sz w:val="14"/>
              </w:rPr>
              <w:t>By board</w:t>
            </w:r>
          </w:p>
        </w:tc>
      </w:tr>
      <w:tr>
        <w:tc>
          <w:tcPr>
            <w:tcW w:type="dxa" w:w="2948"/>
          </w:tcPr>
          <w:p>
            <w:pPr>
              <w:spacing w:before="40" w:after="40"/>
              <w:jc w:val="left"/>
            </w:pPr>
            <w:r>
              <w:rPr>
                <w:b/>
                <w:color w:val="14213D"/>
                <w:sz w:val="16"/>
              </w:rPr>
              <w:t>Adaptive difficulty</w:t>
            </w:r>
          </w:p>
          <w:p>
            <w:pPr>
              <w:spacing w:before="0" w:after="40"/>
            </w:pPr>
            <w:r>
              <w:rPr>
                <w:color w:val="5B6D86"/>
                <w:sz w:val="13"/>
              </w:rPr>
              <w:t>Work changes with measured ability</w:t>
            </w:r>
          </w:p>
        </w:tc>
        <w:tc>
          <w:tcPr>
            <w:tcW w:type="dxa" w:w="1701"/>
            <w:shd w:val="clear" w:fill="FAF1E0"/>
            <w:vAlign w:val="center"/>
          </w:tcPr>
          <w:p>
            <w:pPr>
              <w:spacing w:before="40" w:after="40"/>
              <w:jc w:val="center"/>
            </w:pPr>
            <w:r>
              <w:rPr>
                <w:b/>
                <w:color w:val="8A5807"/>
                <w:sz w:val="14"/>
              </w:rPr>
              <w:t>Mastery score, no speed model</w:t>
            </w:r>
          </w:p>
        </w:tc>
        <w:tc>
          <w:tcPr>
            <w:tcW w:type="dxa" w:w="1701"/>
            <w:shd w:val="clear" w:fill="E8F3EC"/>
            <w:vAlign w:val="center"/>
          </w:tcPr>
          <w:p>
            <w:pPr>
              <w:spacing w:before="40" w:after="40"/>
              <w:jc w:val="center"/>
            </w:pPr>
            <w:r>
              <w:rPr>
                <w:b w:val="0"/>
                <w:color w:val="1F6B3A"/>
                <w:sz w:val="14"/>
              </w:rPr>
              <w:t>Calibrates over ~100 questions, targets a time</w:t>
            </w:r>
          </w:p>
        </w:tc>
        <w:tc>
          <w:tcPr>
            <w:tcW w:type="dxa" w:w="1701"/>
            <w:shd w:val="clear" w:fill="E8F3EC"/>
            <w:vAlign w:val="center"/>
          </w:tcPr>
          <w:p>
            <w:pPr>
              <w:spacing w:before="40" w:after="40"/>
              <w:jc w:val="center"/>
            </w:pPr>
            <w:r>
              <w:rPr>
                <w:b w:val="0"/>
                <w:color w:val="1F6B3A"/>
                <w:sz w:val="14"/>
              </w:rPr>
              <w:t>Real-time pathway</w:t>
            </w:r>
          </w:p>
        </w:tc>
        <w:tc>
          <w:tcPr>
            <w:tcW w:type="dxa" w:w="1701"/>
            <w:shd w:val="clear" w:fill="FAF1E0"/>
            <w:vAlign w:val="center"/>
          </w:tcPr>
          <w:p>
            <w:pPr>
              <w:spacing w:before="40" w:after="40"/>
              <w:jc w:val="center"/>
            </w:pPr>
            <w:r>
              <w:rPr>
                <w:b w:val="0"/>
                <w:color w:val="8A5807"/>
                <w:sz w:val="14"/>
              </w:rPr>
              <w:t>Repeats weak areas</w:t>
            </w:r>
          </w:p>
        </w:tc>
        <w:tc>
          <w:tcPr>
            <w:tcW w:type="dxa" w:w="1701"/>
            <w:shd w:val="clear" w:fill="E8F3EC"/>
            <w:vAlign w:val="center"/>
          </w:tcPr>
          <w:p>
            <w:pPr>
              <w:spacing w:before="40" w:after="40"/>
              <w:jc w:val="center"/>
            </w:pPr>
            <w:r>
              <w:rPr>
                <w:b w:val="0"/>
                <w:color w:val="1F6B3A"/>
                <w:sz w:val="14"/>
              </w:rPr>
              <w:t>Daily goal adapts</w:t>
            </w:r>
          </w:p>
        </w:tc>
        <w:tc>
          <w:tcPr>
            <w:tcW w:type="dxa" w:w="1701"/>
            <w:shd w:val="clear" w:fill="FBECEB"/>
            <w:vAlign w:val="center"/>
          </w:tcPr>
          <w:p>
            <w:pPr>
              <w:spacing w:before="40" w:after="40"/>
              <w:jc w:val="center"/>
            </w:pPr>
            <w:r>
              <w:rPr>
                <w:b w:val="0"/>
                <w:color w:val="9F2D24"/>
                <w:sz w:val="14"/>
              </w:rPr>
              <w:t>Fixed pods</w:t>
            </w:r>
          </w:p>
        </w:tc>
        <w:tc>
          <w:tcPr>
            <w:tcW w:type="dxa" w:w="1701"/>
            <w:shd w:val="clear" w:fill="E8F3EC"/>
            <w:vAlign w:val="center"/>
          </w:tcPr>
          <w:p>
            <w:pPr>
              <w:spacing w:before="40" w:after="40"/>
              <w:jc w:val="center"/>
            </w:pPr>
            <w:r>
              <w:rPr>
                <w:b w:val="0"/>
                <w:color w:val="1F6B3A"/>
                <w:sz w:val="14"/>
              </w:rPr>
              <w:t>Mastery gated</w:t>
            </w:r>
          </w:p>
        </w:tc>
      </w:tr>
      <w:tr>
        <w:tc>
          <w:tcPr>
            <w:tcW w:type="dxa" w:w="2948"/>
          </w:tcPr>
          <w:p>
            <w:pPr>
              <w:spacing w:before="40" w:after="40"/>
              <w:jc w:val="left"/>
            </w:pPr>
            <w:r>
              <w:rPr>
                <w:b/>
                <w:color w:val="14213D"/>
                <w:sz w:val="16"/>
              </w:rPr>
              <w:t>Spaced retrieval</w:t>
            </w:r>
          </w:p>
          <w:p>
            <w:pPr>
              <w:spacing w:before="0" w:after="40"/>
            </w:pPr>
            <w:r>
              <w:rPr>
                <w:color w:val="5B6D86"/>
                <w:sz w:val="13"/>
              </w:rPr>
              <w:t>Re-asks what was missed, on a schedule</w:t>
            </w:r>
          </w:p>
        </w:tc>
        <w:tc>
          <w:tcPr>
            <w:tcW w:type="dxa" w:w="1701"/>
            <w:shd w:val="clear" w:fill="E8F3EC"/>
            <w:vAlign w:val="center"/>
          </w:tcPr>
          <w:p>
            <w:pPr>
              <w:spacing w:before="40" w:after="40"/>
              <w:jc w:val="center"/>
            </w:pPr>
            <w:r>
              <w:rPr>
                <w:b/>
                <w:color w:val="1F6B3A"/>
                <w:sz w:val="14"/>
              </w:rPr>
              <w:t>Re-asks the exact missed question</w:t>
            </w:r>
          </w:p>
        </w:tc>
        <w:tc>
          <w:tcPr>
            <w:tcW w:type="dxa" w:w="1701"/>
            <w:shd w:val="clear" w:fill="FAF1E0"/>
            <w:vAlign w:val="center"/>
          </w:tcPr>
          <w:p>
            <w:pPr>
              <w:spacing w:before="40" w:after="40"/>
              <w:jc w:val="center"/>
            </w:pPr>
            <w:r>
              <w:rPr>
                <w:b w:val="0"/>
                <w:color w:val="8A5807"/>
                <w:sz w:val="14"/>
              </w:rPr>
              <w:t>Repetition within homework</w:t>
            </w:r>
          </w:p>
        </w:tc>
        <w:tc>
          <w:tcPr>
            <w:tcW w:type="dxa" w:w="1701"/>
            <w:shd w:val="clear" w:fill="FAF1E0"/>
            <w:vAlign w:val="center"/>
          </w:tcPr>
          <w:p>
            <w:pPr>
              <w:spacing w:before="40" w:after="40"/>
              <w:jc w:val="center"/>
            </w:pPr>
            <w:r>
              <w:rPr>
                <w:b w:val="0"/>
                <w:color w:val="8A5807"/>
                <w:sz w:val="14"/>
              </w:rPr>
              <w:t>Revisits weak areas</w:t>
            </w:r>
          </w:p>
        </w:tc>
        <w:tc>
          <w:tcPr>
            <w:tcW w:type="dxa" w:w="1701"/>
            <w:shd w:val="clear" w:fill="E8F3EC"/>
            <w:vAlign w:val="center"/>
          </w:tcPr>
          <w:p>
            <w:pPr>
              <w:spacing w:before="40" w:after="40"/>
              <w:jc w:val="center"/>
            </w:pPr>
            <w:r>
              <w:rPr>
                <w:b w:val="0"/>
                <w:color w:val="1F6B3A"/>
                <w:sz w:val="14"/>
              </w:rPr>
              <w:t>Core of the product</w:t>
            </w:r>
          </w:p>
        </w:tc>
        <w:tc>
          <w:tcPr>
            <w:tcW w:type="dxa" w:w="1701"/>
            <w:shd w:val="clear" w:fill="E8F3EC"/>
            <w:vAlign w:val="center"/>
          </w:tcPr>
          <w:p>
            <w:pPr>
              <w:spacing w:before="40" w:after="40"/>
              <w:jc w:val="center"/>
            </w:pPr>
            <w:r>
              <w:rPr>
                <w:b w:val="0"/>
                <w:color w:val="1F6B3A"/>
                <w:sz w:val="14"/>
              </w:rPr>
              <w:t>Little and often</w:t>
            </w:r>
          </w:p>
        </w:tc>
        <w:tc>
          <w:tcPr>
            <w:tcW w:type="dxa" w:w="1701"/>
            <w:shd w:val="clear" w:fill="FBECEB"/>
            <w:vAlign w:val="center"/>
          </w:tcPr>
          <w:p>
            <w:pPr>
              <w:spacing w:before="40" w:after="40"/>
              <w:jc w:val="center"/>
            </w:pPr>
            <w:r>
              <w:rPr>
                <w:b w:val="0"/>
                <w:color w:val="9F2D24"/>
                <w:sz w:val="14"/>
              </w:rPr>
              <w:t>—</w:t>
            </w:r>
          </w:p>
        </w:tc>
        <w:tc>
          <w:tcPr>
            <w:tcW w:type="dxa" w:w="1701"/>
            <w:shd w:val="clear" w:fill="FAF1E0"/>
            <w:vAlign w:val="center"/>
          </w:tcPr>
          <w:p>
            <w:pPr>
              <w:spacing w:before="40" w:after="40"/>
              <w:jc w:val="center"/>
            </w:pPr>
            <w:r>
              <w:rPr>
                <w:b w:val="0"/>
                <w:color w:val="8A5807"/>
                <w:sz w:val="14"/>
              </w:rPr>
              <w:t>Review cycles</w:t>
            </w:r>
          </w:p>
        </w:tc>
      </w:tr>
      <w:tr>
        <w:tc>
          <w:tcPr>
            <w:tcW w:type="dxa" w:w="2948"/>
          </w:tcPr>
          <w:p>
            <w:pPr>
              <w:spacing w:before="40" w:after="40"/>
              <w:jc w:val="left"/>
            </w:pPr>
            <w:r>
              <w:rPr>
                <w:b/>
                <w:color w:val="14213D"/>
                <w:sz w:val="16"/>
              </w:rPr>
              <w:t>Exam-style marking</w:t>
            </w:r>
          </w:p>
          <w:p>
            <w:pPr>
              <w:spacing w:before="0" w:after="40"/>
            </w:pPr>
            <w:r>
              <w:rPr>
                <w:color w:val="5B6D86"/>
                <w:sz w:val="13"/>
              </w:rPr>
              <w:t>Mark scheme and marks awarded</w:t>
            </w:r>
          </w:p>
        </w:tc>
        <w:tc>
          <w:tcPr>
            <w:tcW w:type="dxa" w:w="1701"/>
            <w:shd w:val="clear" w:fill="E8F3EC"/>
            <w:vAlign w:val="center"/>
          </w:tcPr>
          <w:p>
            <w:pPr>
              <w:spacing w:before="40" w:after="40"/>
              <w:jc w:val="center"/>
            </w:pPr>
            <w:r>
              <w:rPr>
                <w:b/>
                <w:color w:val="1F6B3A"/>
                <w:sz w:val="14"/>
              </w:rPr>
              <w:t>Exam mode, marks recorded</w:t>
            </w:r>
          </w:p>
        </w:tc>
        <w:tc>
          <w:tcPr>
            <w:tcW w:type="dxa" w:w="1701"/>
            <w:shd w:val="clear" w:fill="FAF1E0"/>
            <w:vAlign w:val="center"/>
          </w:tcPr>
          <w:p>
            <w:pPr>
              <w:spacing w:before="40" w:after="40"/>
              <w:jc w:val="center"/>
            </w:pPr>
            <w:r>
              <w:rPr>
                <w:b w:val="0"/>
                <w:color w:val="8A5807"/>
                <w:sz w:val="14"/>
              </w:rPr>
              <w:t>Right or wrong</w:t>
            </w:r>
          </w:p>
        </w:tc>
        <w:tc>
          <w:tcPr>
            <w:tcW w:type="dxa" w:w="1701"/>
            <w:shd w:val="clear" w:fill="FAF1E0"/>
            <w:vAlign w:val="center"/>
          </w:tcPr>
          <w:p>
            <w:pPr>
              <w:spacing w:before="40" w:after="40"/>
              <w:jc w:val="center"/>
            </w:pPr>
            <w:r>
              <w:rPr>
                <w:b w:val="0"/>
                <w:color w:val="8A5807"/>
                <w:sz w:val="14"/>
              </w:rPr>
              <w:t>Right or wrong</w:t>
            </w:r>
          </w:p>
        </w:tc>
        <w:tc>
          <w:tcPr>
            <w:tcW w:type="dxa" w:w="1701"/>
            <w:shd w:val="clear" w:fill="FAF1E0"/>
            <w:vAlign w:val="center"/>
          </w:tcPr>
          <w:p>
            <w:pPr>
              <w:spacing w:before="40" w:after="40"/>
              <w:jc w:val="center"/>
            </w:pPr>
            <w:r>
              <w:rPr>
                <w:b w:val="0"/>
                <w:color w:val="8A5807"/>
                <w:sz w:val="14"/>
              </w:rPr>
              <w:t>Right or wrong</w:t>
            </w:r>
          </w:p>
        </w:tc>
        <w:tc>
          <w:tcPr>
            <w:tcW w:type="dxa" w:w="1701"/>
            <w:shd w:val="clear" w:fill="FAF1E0"/>
            <w:vAlign w:val="center"/>
          </w:tcPr>
          <w:p>
            <w:pPr>
              <w:spacing w:before="40" w:after="40"/>
              <w:jc w:val="center"/>
            </w:pPr>
            <w:r>
              <w:rPr>
                <w:b w:val="0"/>
                <w:color w:val="8A5807"/>
                <w:sz w:val="14"/>
              </w:rPr>
              <w:t>Right or wrong</w:t>
            </w:r>
          </w:p>
        </w:tc>
        <w:tc>
          <w:tcPr>
            <w:tcW w:type="dxa" w:w="1701"/>
            <w:shd w:val="clear" w:fill="FBECEB"/>
            <w:vAlign w:val="center"/>
          </w:tcPr>
          <w:p>
            <w:pPr>
              <w:spacing w:before="40" w:after="40"/>
              <w:jc w:val="center"/>
            </w:pPr>
            <w:r>
              <w:rPr>
                <w:b w:val="0"/>
                <w:color w:val="9F2D24"/>
                <w:sz w:val="14"/>
              </w:rPr>
              <w:t>—</w:t>
            </w:r>
          </w:p>
        </w:tc>
        <w:tc>
          <w:tcPr>
            <w:tcW w:type="dxa" w:w="1701"/>
            <w:shd w:val="clear" w:fill="E8F3EC"/>
            <w:vAlign w:val="center"/>
          </w:tcPr>
          <w:p>
            <w:pPr>
              <w:spacing w:before="40" w:after="40"/>
              <w:jc w:val="center"/>
            </w:pPr>
            <w:r>
              <w:rPr>
                <w:b w:val="0"/>
                <w:color w:val="1F6B3A"/>
                <w:sz w:val="14"/>
              </w:rPr>
              <w:t>Exam technique</w:t>
            </w:r>
          </w:p>
        </w:tc>
      </w:tr>
      <w:tr>
        <w:tc>
          <w:tcPr>
            <w:tcW w:type="dxa" w:w="2948"/>
          </w:tcPr>
          <w:p>
            <w:pPr>
              <w:spacing w:before="40" w:after="40"/>
              <w:jc w:val="left"/>
            </w:pPr>
            <w:r>
              <w:rPr>
                <w:b/>
                <w:color w:val="14213D"/>
                <w:sz w:val="16"/>
              </w:rPr>
              <w:t>Video or animation</w:t>
            </w:r>
          </w:p>
          <w:p>
            <w:pPr>
              <w:spacing w:before="0" w:after="40"/>
            </w:pPr>
            <w:r>
              <w:rPr>
                <w:color w:val="5B6D86"/>
                <w:sz w:val="13"/>
              </w:rPr>
              <w:t>Taught content beyond text</w:t>
            </w:r>
          </w:p>
        </w:tc>
        <w:tc>
          <w:tcPr>
            <w:tcW w:type="dxa" w:w="1701"/>
            <w:shd w:val="clear" w:fill="FBECEB"/>
            <w:vAlign w:val="center"/>
          </w:tcPr>
          <w:p>
            <w:pPr>
              <w:spacing w:before="40" w:after="40"/>
              <w:jc w:val="center"/>
            </w:pPr>
            <w:r>
              <w:rPr>
                <w:b/>
                <w:color w:val="9F2D24"/>
                <w:sz w:val="14"/>
              </w:rPr>
              <w:t>Text only</w:t>
            </w:r>
          </w:p>
        </w:tc>
        <w:tc>
          <w:tcPr>
            <w:tcW w:type="dxa" w:w="1701"/>
            <w:shd w:val="clear" w:fill="FAF1E0"/>
            <w:vAlign w:val="center"/>
          </w:tcPr>
          <w:p>
            <w:pPr>
              <w:spacing w:before="40" w:after="40"/>
              <w:jc w:val="center"/>
            </w:pPr>
            <w:r>
              <w:rPr>
                <w:b w:val="0"/>
                <w:color w:val="8A5807"/>
                <w:sz w:val="14"/>
              </w:rPr>
              <w:t>Worked video help</w:t>
            </w:r>
          </w:p>
        </w:tc>
        <w:tc>
          <w:tcPr>
            <w:tcW w:type="dxa" w:w="1701"/>
            <w:shd w:val="clear" w:fill="FAF1E0"/>
            <w:vAlign w:val="center"/>
          </w:tcPr>
          <w:p>
            <w:pPr>
              <w:spacing w:before="40" w:after="40"/>
              <w:jc w:val="center"/>
            </w:pPr>
            <w:r>
              <w:rPr>
                <w:b w:val="0"/>
                <w:color w:val="8A5807"/>
                <w:sz w:val="14"/>
              </w:rPr>
              <w:t>Some media</w:t>
            </w:r>
          </w:p>
        </w:tc>
        <w:tc>
          <w:tcPr>
            <w:tcW w:type="dxa" w:w="1701"/>
            <w:shd w:val="clear" w:fill="FAF1E0"/>
            <w:vAlign w:val="center"/>
          </w:tcPr>
          <w:p>
            <w:pPr>
              <w:spacing w:before="40" w:after="40"/>
              <w:jc w:val="center"/>
            </w:pPr>
            <w:r>
              <w:rPr>
                <w:b w:val="0"/>
                <w:color w:val="8A5807"/>
                <w:sz w:val="14"/>
              </w:rPr>
              <w:t>Short clips</w:t>
            </w:r>
          </w:p>
        </w:tc>
        <w:tc>
          <w:tcPr>
            <w:tcW w:type="dxa" w:w="1701"/>
            <w:shd w:val="clear" w:fill="FBECEB"/>
            <w:vAlign w:val="center"/>
          </w:tcPr>
          <w:p>
            <w:pPr>
              <w:spacing w:before="40" w:after="40"/>
              <w:jc w:val="center"/>
            </w:pPr>
            <w:r>
              <w:rPr>
                <w:b w:val="0"/>
                <w:color w:val="9F2D24"/>
                <w:sz w:val="14"/>
              </w:rPr>
              <w:t>Question led</w:t>
            </w:r>
          </w:p>
        </w:tc>
        <w:tc>
          <w:tcPr>
            <w:tcW w:type="dxa" w:w="1701"/>
            <w:shd w:val="clear" w:fill="E8F3EC"/>
            <w:vAlign w:val="center"/>
          </w:tcPr>
          <w:p>
            <w:pPr>
              <w:spacing w:before="40" w:after="40"/>
              <w:jc w:val="center"/>
            </w:pPr>
            <w:r>
              <w:rPr>
                <w:b w:val="0"/>
                <w:color w:val="1F6B3A"/>
                <w:sz w:val="14"/>
              </w:rPr>
              <w:t>3-5 minute animated pods</w:t>
            </w:r>
          </w:p>
        </w:tc>
        <w:tc>
          <w:tcPr>
            <w:tcW w:type="dxa" w:w="1701"/>
            <w:shd w:val="clear" w:fill="E8F3EC"/>
            <w:vAlign w:val="center"/>
          </w:tcPr>
          <w:p>
            <w:pPr>
              <w:spacing w:before="40" w:after="40"/>
              <w:jc w:val="center"/>
            </w:pPr>
            <w:r>
              <w:rPr>
                <w:b w:val="0"/>
                <w:color w:val="1F6B3A"/>
                <w:sz w:val="14"/>
              </w:rPr>
              <w:t>Full video course</w:t>
            </w:r>
          </w:p>
        </w:tc>
      </w:tr>
      <w:tr>
        <w:tc>
          <w:tcPr>
            <w:tcW w:type="dxa" w:w="2948"/>
          </w:tcPr>
          <w:p>
            <w:pPr>
              <w:spacing w:before="40" w:after="40"/>
              <w:jc w:val="left"/>
            </w:pPr>
            <w:r>
              <w:rPr>
                <w:b/>
                <w:color w:val="14213D"/>
                <w:sz w:val="16"/>
              </w:rPr>
              <w:t>Links to work on paper</w:t>
            </w:r>
          </w:p>
          <w:p>
            <w:pPr>
              <w:spacing w:before="0" w:after="40"/>
            </w:pPr>
            <w:r>
              <w:rPr>
                <w:color w:val="5B6D86"/>
                <w:sz w:val="13"/>
              </w:rPr>
              <w:t>Ties screen work to written method</w:t>
            </w:r>
          </w:p>
        </w:tc>
        <w:tc>
          <w:tcPr>
            <w:tcW w:type="dxa" w:w="1701"/>
            <w:shd w:val="clear" w:fill="FBECEB"/>
            <w:vAlign w:val="center"/>
          </w:tcPr>
          <w:p>
            <w:pPr>
              <w:spacing w:before="40" w:after="40"/>
              <w:jc w:val="center"/>
            </w:pPr>
            <w:r>
              <w:rPr>
                <w:b/>
                <w:color w:val="9F2D24"/>
                <w:sz w:val="14"/>
              </w:rPr>
              <w:t>—</w:t>
            </w:r>
          </w:p>
        </w:tc>
        <w:tc>
          <w:tcPr>
            <w:tcW w:type="dxa" w:w="1701"/>
            <w:shd w:val="clear" w:fill="E8F3EC"/>
            <w:vAlign w:val="center"/>
          </w:tcPr>
          <w:p>
            <w:pPr>
              <w:spacing w:before="40" w:after="40"/>
              <w:jc w:val="center"/>
            </w:pPr>
            <w:r>
              <w:rPr>
                <w:b w:val="0"/>
                <w:color w:val="1F6B3A"/>
                <w:sz w:val="14"/>
              </w:rPr>
              <w:t>Bookwork checks</w:t>
            </w:r>
          </w:p>
        </w:tc>
        <w:tc>
          <w:tcPr>
            <w:tcW w:type="dxa" w:w="1701"/>
            <w:shd w:val="clear" w:fill="FBECEB"/>
            <w:vAlign w:val="center"/>
          </w:tcPr>
          <w:p>
            <w:pPr>
              <w:spacing w:before="40" w:after="40"/>
              <w:jc w:val="center"/>
            </w:pPr>
            <w:r>
              <w:rPr>
                <w:b w:val="0"/>
                <w:color w:val="9F2D24"/>
                <w:sz w:val="14"/>
              </w:rPr>
              <w:t>—</w:t>
            </w:r>
          </w:p>
        </w:tc>
        <w:tc>
          <w:tcPr>
            <w:tcW w:type="dxa" w:w="1701"/>
            <w:shd w:val="clear" w:fill="FBECEB"/>
            <w:vAlign w:val="center"/>
          </w:tcPr>
          <w:p>
            <w:pPr>
              <w:spacing w:before="40" w:after="40"/>
              <w:jc w:val="center"/>
            </w:pPr>
            <w:r>
              <w:rPr>
                <w:b w:val="0"/>
                <w:color w:val="9F2D24"/>
                <w:sz w:val="14"/>
              </w:rPr>
              <w:t>—</w:t>
            </w:r>
          </w:p>
        </w:tc>
        <w:tc>
          <w:tcPr>
            <w:tcW w:type="dxa" w:w="1701"/>
            <w:shd w:val="clear" w:fill="FBECEB"/>
            <w:vAlign w:val="center"/>
          </w:tcPr>
          <w:p>
            <w:pPr>
              <w:spacing w:before="40" w:after="40"/>
              <w:jc w:val="center"/>
            </w:pPr>
            <w:r>
              <w:rPr>
                <w:b w:val="0"/>
                <w:color w:val="9F2D24"/>
                <w:sz w:val="14"/>
              </w:rPr>
              <w:t>—</w:t>
            </w:r>
          </w:p>
        </w:tc>
        <w:tc>
          <w:tcPr>
            <w:tcW w:type="dxa" w:w="1701"/>
            <w:shd w:val="clear" w:fill="FBECEB"/>
            <w:vAlign w:val="center"/>
          </w:tcPr>
          <w:p>
            <w:pPr>
              <w:spacing w:before="40" w:after="40"/>
              <w:jc w:val="center"/>
            </w:pPr>
            <w:r>
              <w:rPr>
                <w:b w:val="0"/>
                <w:color w:val="9F2D24"/>
                <w:sz w:val="14"/>
              </w:rPr>
              <w:t>—</w:t>
            </w:r>
          </w:p>
        </w:tc>
        <w:tc>
          <w:tcPr>
            <w:tcW w:type="dxa" w:w="1701"/>
            <w:shd w:val="clear" w:fill="FBECEB"/>
            <w:vAlign w:val="center"/>
          </w:tcPr>
          <w:p>
            <w:pPr>
              <w:spacing w:before="40" w:after="40"/>
              <w:jc w:val="center"/>
            </w:pPr>
            <w:r>
              <w:rPr>
                <w:b w:val="0"/>
                <w:color w:val="9F2D24"/>
                <w:sz w:val="14"/>
              </w:rPr>
              <w:t>—</w:t>
            </w:r>
          </w:p>
        </w:tc>
      </w:tr>
      <w:tr>
        <w:tc>
          <w:tcPr>
            <w:tcW w:type="dxa" w:w="2948"/>
          </w:tcPr>
          <w:p>
            <w:pPr>
              <w:spacing w:before="40" w:after="40"/>
              <w:jc w:val="left"/>
            </w:pPr>
            <w:r>
              <w:rPr>
                <w:b/>
                <w:color w:val="14213D"/>
                <w:sz w:val="16"/>
              </w:rPr>
              <w:t>Parent-facing progress</w:t>
            </w:r>
          </w:p>
          <w:p>
            <w:pPr>
              <w:spacing w:before="0" w:after="40"/>
            </w:pPr>
            <w:r>
              <w:rPr>
                <w:color w:val="5B6D86"/>
                <w:sz w:val="13"/>
              </w:rPr>
              <w:t>The buyer can see what happened</w:t>
            </w:r>
          </w:p>
        </w:tc>
        <w:tc>
          <w:tcPr>
            <w:tcW w:type="dxa" w:w="1701"/>
            <w:shd w:val="clear" w:fill="E8F3EC"/>
            <w:vAlign w:val="center"/>
          </w:tcPr>
          <w:p>
            <w:pPr>
              <w:spacing w:before="40" w:after="40"/>
              <w:jc w:val="center"/>
            </w:pPr>
            <w:r>
              <w:rPr>
                <w:b/>
                <w:color w:val="1F6B3A"/>
                <w:sz w:val="14"/>
              </w:rPr>
              <w:t>Parent dashboard, mastery and time</w:t>
            </w:r>
          </w:p>
        </w:tc>
        <w:tc>
          <w:tcPr>
            <w:tcW w:type="dxa" w:w="1701"/>
            <w:shd w:val="clear" w:fill="FAF1E0"/>
            <w:vAlign w:val="center"/>
          </w:tcPr>
          <w:p>
            <w:pPr>
              <w:spacing w:before="40" w:after="40"/>
              <w:jc w:val="center"/>
            </w:pPr>
            <w:r>
              <w:rPr>
                <w:b w:val="0"/>
                <w:color w:val="8A5807"/>
                <w:sz w:val="14"/>
              </w:rPr>
              <w:t>Limited parent view</w:t>
            </w:r>
          </w:p>
        </w:tc>
        <w:tc>
          <w:tcPr>
            <w:tcW w:type="dxa" w:w="1701"/>
            <w:shd w:val="clear" w:fill="FBECEB"/>
            <w:vAlign w:val="center"/>
          </w:tcPr>
          <w:p>
            <w:pPr>
              <w:spacing w:before="40" w:after="40"/>
              <w:jc w:val="center"/>
            </w:pPr>
            <w:r>
              <w:rPr>
                <w:b w:val="0"/>
                <w:color w:val="9F2D24"/>
                <w:sz w:val="14"/>
              </w:rPr>
              <w:t>Teacher facing</w:t>
            </w:r>
          </w:p>
        </w:tc>
        <w:tc>
          <w:tcPr>
            <w:tcW w:type="dxa" w:w="1701"/>
            <w:shd w:val="clear" w:fill="FAF1E0"/>
            <w:vAlign w:val="center"/>
          </w:tcPr>
          <w:p>
            <w:pPr>
              <w:spacing w:before="40" w:after="40"/>
              <w:jc w:val="center"/>
            </w:pPr>
            <w:r>
              <w:rPr>
                <w:b w:val="0"/>
                <w:color w:val="8A5807"/>
                <w:sz w:val="14"/>
              </w:rPr>
              <w:t>Parent account</w:t>
            </w:r>
          </w:p>
        </w:tc>
        <w:tc>
          <w:tcPr>
            <w:tcW w:type="dxa" w:w="1701"/>
            <w:shd w:val="clear" w:fill="E8F3EC"/>
            <w:vAlign w:val="center"/>
          </w:tcPr>
          <w:p>
            <w:pPr>
              <w:spacing w:before="40" w:after="40"/>
              <w:jc w:val="center"/>
            </w:pPr>
            <w:r>
              <w:rPr>
                <w:b w:val="0"/>
                <w:color w:val="1F6B3A"/>
                <w:sz w:val="14"/>
              </w:rPr>
              <w:t>Parent reports</w:t>
            </w:r>
          </w:p>
        </w:tc>
        <w:tc>
          <w:tcPr>
            <w:tcW w:type="dxa" w:w="1701"/>
            <w:shd w:val="clear" w:fill="FBECEB"/>
            <w:vAlign w:val="center"/>
          </w:tcPr>
          <w:p>
            <w:pPr>
              <w:spacing w:before="40" w:after="40"/>
              <w:jc w:val="center"/>
            </w:pPr>
            <w:r>
              <w:rPr>
                <w:b w:val="0"/>
                <w:color w:val="9F2D24"/>
                <w:sz w:val="14"/>
              </w:rPr>
              <w:t>Teacher facing</w:t>
            </w:r>
          </w:p>
        </w:tc>
        <w:tc>
          <w:tcPr>
            <w:tcW w:type="dxa" w:w="1701"/>
            <w:shd w:val="clear" w:fill="FAF1E0"/>
            <w:vAlign w:val="center"/>
          </w:tcPr>
          <w:p>
            <w:pPr>
              <w:spacing w:before="40" w:after="40"/>
              <w:jc w:val="center"/>
            </w:pPr>
            <w:r>
              <w:rPr>
                <w:b w:val="0"/>
                <w:color w:val="8A5807"/>
                <w:sz w:val="14"/>
              </w:rPr>
              <w:t>Parent updates</w:t>
            </w:r>
          </w:p>
        </w:tc>
      </w:tr>
      <w:tr>
        <w:tc>
          <w:tcPr>
            <w:tcW w:type="dxa" w:w="2948"/>
          </w:tcPr>
          <w:p>
            <w:pPr>
              <w:spacing w:before="40" w:after="40"/>
              <w:jc w:val="left"/>
            </w:pPr>
            <w:r>
              <w:rPr>
                <w:b/>
                <w:color w:val="14213D"/>
                <w:sz w:val="16"/>
              </w:rPr>
              <w:t>School and teacher dashboard</w:t>
            </w:r>
          </w:p>
          <w:p>
            <w:pPr>
              <w:spacing w:before="0" w:after="40"/>
            </w:pPr>
            <w:r>
              <w:rPr>
                <w:color w:val="5B6D86"/>
                <w:sz w:val="13"/>
              </w:rPr>
              <w:t>The distribution channel that matters</w:t>
            </w:r>
          </w:p>
        </w:tc>
        <w:tc>
          <w:tcPr>
            <w:tcW w:type="dxa" w:w="1701"/>
            <w:shd w:val="clear" w:fill="FBECEB"/>
            <w:vAlign w:val="center"/>
          </w:tcPr>
          <w:p>
            <w:pPr>
              <w:spacing w:before="40" w:after="40"/>
              <w:jc w:val="center"/>
            </w:pPr>
            <w:r>
              <w:rPr>
                <w:b/>
                <w:color w:val="9F2D24"/>
                <w:sz w:val="14"/>
              </w:rPr>
              <w:t>None</w:t>
            </w:r>
          </w:p>
        </w:tc>
        <w:tc>
          <w:tcPr>
            <w:tcW w:type="dxa" w:w="1701"/>
            <w:shd w:val="clear" w:fill="E8F3EC"/>
            <w:vAlign w:val="center"/>
          </w:tcPr>
          <w:p>
            <w:pPr>
              <w:spacing w:before="40" w:after="40"/>
              <w:jc w:val="center"/>
            </w:pPr>
            <w:r>
              <w:rPr>
                <w:b w:val="0"/>
                <w:color w:val="1F6B3A"/>
                <w:sz w:val="14"/>
              </w:rPr>
              <w:t>Core of the sale</w:t>
            </w:r>
          </w:p>
        </w:tc>
        <w:tc>
          <w:tcPr>
            <w:tcW w:type="dxa" w:w="1701"/>
            <w:shd w:val="clear" w:fill="E8F3EC"/>
            <w:vAlign w:val="center"/>
          </w:tcPr>
          <w:p>
            <w:pPr>
              <w:spacing w:before="40" w:after="40"/>
              <w:jc w:val="center"/>
            </w:pPr>
            <w:r>
              <w:rPr>
                <w:b w:val="0"/>
                <w:color w:val="1F6B3A"/>
                <w:sz w:val="14"/>
              </w:rPr>
              <w:t>Saves 5-8 hours a week</w:t>
            </w:r>
          </w:p>
        </w:tc>
        <w:tc>
          <w:tcPr>
            <w:tcW w:type="dxa" w:w="1701"/>
            <w:shd w:val="clear" w:fill="E8F3EC"/>
            <w:vAlign w:val="center"/>
          </w:tcPr>
          <w:p>
            <w:pPr>
              <w:spacing w:before="40" w:after="40"/>
              <w:jc w:val="center"/>
            </w:pPr>
            <w:r>
              <w:rPr>
                <w:b w:val="0"/>
                <w:color w:val="1F6B3A"/>
                <w:sz w:val="14"/>
              </w:rPr>
              <w:t>Seneca for Schools</w:t>
            </w:r>
          </w:p>
        </w:tc>
        <w:tc>
          <w:tcPr>
            <w:tcW w:type="dxa" w:w="1701"/>
            <w:shd w:val="clear" w:fill="E8F3EC"/>
            <w:vAlign w:val="center"/>
          </w:tcPr>
          <w:p>
            <w:pPr>
              <w:spacing w:before="40" w:after="40"/>
              <w:jc w:val="center"/>
            </w:pPr>
            <w:r>
              <w:rPr>
                <w:b w:val="0"/>
                <w:color w:val="1F6B3A"/>
                <w:sz w:val="14"/>
              </w:rPr>
              <w:t>School reporting</w:t>
            </w:r>
          </w:p>
        </w:tc>
        <w:tc>
          <w:tcPr>
            <w:tcW w:type="dxa" w:w="1701"/>
            <w:shd w:val="clear" w:fill="E8F3EC"/>
            <w:vAlign w:val="center"/>
          </w:tcPr>
          <w:p>
            <w:pPr>
              <w:spacing w:before="40" w:after="40"/>
              <w:jc w:val="center"/>
            </w:pPr>
            <w:r>
              <w:rPr>
                <w:b w:val="0"/>
                <w:color w:val="1F6B3A"/>
                <w:sz w:val="14"/>
              </w:rPr>
              <w:t>Core of the sale</w:t>
            </w:r>
          </w:p>
        </w:tc>
        <w:tc>
          <w:tcPr>
            <w:tcW w:type="dxa" w:w="1701"/>
            <w:shd w:val="clear" w:fill="E8F3EC"/>
            <w:vAlign w:val="center"/>
          </w:tcPr>
          <w:p>
            <w:pPr>
              <w:spacing w:before="40" w:after="40"/>
              <w:jc w:val="center"/>
            </w:pPr>
            <w:r>
              <w:rPr>
                <w:b w:val="0"/>
                <w:color w:val="1F6B3A"/>
                <w:sz w:val="14"/>
              </w:rPr>
              <w:t>600+ schools</w:t>
            </w:r>
          </w:p>
        </w:tc>
      </w:tr>
      <w:tr>
        <w:tc>
          <w:tcPr>
            <w:tcW w:type="dxa" w:w="2948"/>
          </w:tcPr>
          <w:p>
            <w:pPr>
              <w:spacing w:before="40" w:after="40"/>
              <w:jc w:val="left"/>
            </w:pPr>
            <w:r>
              <w:rPr>
                <w:b/>
                <w:color w:val="14213D"/>
                <w:sz w:val="16"/>
              </w:rPr>
              <w:t>Core teaching text is authored</w:t>
            </w:r>
          </w:p>
          <w:p>
            <w:pPr>
              <w:spacing w:before="0" w:after="40"/>
            </w:pPr>
            <w:r>
              <w:rPr>
                <w:color w:val="5B6D86"/>
                <w:sz w:val="13"/>
              </w:rPr>
              <w:t>Not generated at request time</w:t>
            </w:r>
          </w:p>
        </w:tc>
        <w:tc>
          <w:tcPr>
            <w:tcW w:type="dxa" w:w="1701"/>
            <w:shd w:val="clear" w:fill="E8F3EC"/>
            <w:vAlign w:val="center"/>
          </w:tcPr>
          <w:p>
            <w:pPr>
              <w:spacing w:before="40" w:after="40"/>
              <w:jc w:val="center"/>
            </w:pPr>
            <w:r>
              <w:rPr>
                <w:b/>
                <w:color w:val="1F6B3A"/>
                <w:sz w:val="14"/>
              </w:rPr>
              <w:t>210 authored explanations</w:t>
            </w:r>
          </w:p>
        </w:tc>
        <w:tc>
          <w:tcPr>
            <w:tcW w:type="dxa" w:w="1701"/>
            <w:shd w:val="clear" w:fill="E8F3EC"/>
            <w:vAlign w:val="center"/>
          </w:tcPr>
          <w:p>
            <w:pPr>
              <w:spacing w:before="40" w:after="40"/>
              <w:jc w:val="center"/>
            </w:pPr>
            <w:r>
              <w:rPr>
                <w:b w:val="0"/>
                <w:color w:val="1F6B3A"/>
                <w:sz w:val="14"/>
              </w:rPr>
              <w:t>Teacher authored</w:t>
            </w:r>
          </w:p>
        </w:tc>
        <w:tc>
          <w:tcPr>
            <w:tcW w:type="dxa" w:w="1701"/>
            <w:shd w:val="clear" w:fill="E8F3EC"/>
            <w:vAlign w:val="center"/>
          </w:tcPr>
          <w:p>
            <w:pPr>
              <w:spacing w:before="40" w:after="40"/>
              <w:jc w:val="center"/>
            </w:pPr>
            <w:r>
              <w:rPr>
                <w:b w:val="0"/>
                <w:color w:val="1F6B3A"/>
                <w:sz w:val="14"/>
              </w:rPr>
              <w:t>Teacher authored</w:t>
            </w:r>
          </w:p>
        </w:tc>
        <w:tc>
          <w:tcPr>
            <w:tcW w:type="dxa" w:w="1701"/>
            <w:shd w:val="clear" w:fill="E8F3EC"/>
            <w:vAlign w:val="center"/>
          </w:tcPr>
          <w:p>
            <w:pPr>
              <w:spacing w:before="40" w:after="40"/>
              <w:jc w:val="center"/>
            </w:pPr>
            <w:r>
              <w:rPr>
                <w:b w:val="0"/>
                <w:color w:val="1F6B3A"/>
                <w:sz w:val="14"/>
              </w:rPr>
              <w:t>Teacher authored</w:t>
            </w:r>
          </w:p>
        </w:tc>
        <w:tc>
          <w:tcPr>
            <w:tcW w:type="dxa" w:w="1701"/>
            <w:shd w:val="clear" w:fill="E8F3EC"/>
            <w:vAlign w:val="center"/>
          </w:tcPr>
          <w:p>
            <w:pPr>
              <w:spacing w:before="40" w:after="40"/>
              <w:jc w:val="center"/>
            </w:pPr>
            <w:r>
              <w:rPr>
                <w:b w:val="0"/>
                <w:color w:val="1F6B3A"/>
                <w:sz w:val="14"/>
              </w:rPr>
              <w:t>Teacher authored</w:t>
            </w:r>
          </w:p>
        </w:tc>
        <w:tc>
          <w:tcPr>
            <w:tcW w:type="dxa" w:w="1701"/>
            <w:shd w:val="clear" w:fill="E8F3EC"/>
            <w:vAlign w:val="center"/>
          </w:tcPr>
          <w:p>
            <w:pPr>
              <w:spacing w:before="40" w:after="40"/>
              <w:jc w:val="center"/>
            </w:pPr>
            <w:r>
              <w:rPr>
                <w:b w:val="0"/>
                <w:color w:val="1F6B3A"/>
                <w:sz w:val="14"/>
              </w:rPr>
              <w:t>Professionally produced</w:t>
            </w:r>
          </w:p>
        </w:tc>
        <w:tc>
          <w:tcPr>
            <w:tcW w:type="dxa" w:w="1701"/>
            <w:shd w:val="clear" w:fill="E8F3EC"/>
            <w:vAlign w:val="center"/>
          </w:tcPr>
          <w:p>
            <w:pPr>
              <w:spacing w:before="40" w:after="40"/>
              <w:jc w:val="center"/>
            </w:pPr>
            <w:r>
              <w:rPr>
                <w:b w:val="0"/>
                <w:color w:val="1F6B3A"/>
                <w:sz w:val="14"/>
              </w:rPr>
              <w:t>Teacher authored</w:t>
            </w:r>
          </w:p>
        </w:tc>
      </w:tr>
      <w:tr>
        <w:tc>
          <w:tcPr>
            <w:tcW w:type="dxa" w:w="2948"/>
          </w:tcPr>
          <w:p>
            <w:pPr>
              <w:spacing w:before="40" w:after="40"/>
              <w:jc w:val="left"/>
            </w:pPr>
            <w:r>
              <w:rPr>
                <w:b/>
                <w:color w:val="14213D"/>
                <w:sz w:val="16"/>
              </w:rPr>
              <w:t>Content reviewed before a child sees it</w:t>
            </w:r>
          </w:p>
          <w:p>
            <w:pPr>
              <w:spacing w:before="0" w:after="40"/>
            </w:pPr>
            <w:r>
              <w:rPr>
                <w:color w:val="5B6D86"/>
                <w:sz w:val="13"/>
              </w:rPr>
              <w:t>A person has read it</w:t>
            </w:r>
          </w:p>
        </w:tc>
        <w:tc>
          <w:tcPr>
            <w:tcW w:type="dxa" w:w="1701"/>
            <w:shd w:val="clear" w:fill="FBECEB"/>
            <w:vAlign w:val="center"/>
          </w:tcPr>
          <w:p>
            <w:pPr>
              <w:spacing w:before="40" w:after="40"/>
              <w:jc w:val="center"/>
            </w:pPr>
            <w:r>
              <w:rPr>
                <w:b/>
                <w:color w:val="9F2D24"/>
                <w:sz w:val="14"/>
              </w:rPr>
              <w:t>2 of 576 rows reviewed</w:t>
            </w:r>
          </w:p>
        </w:tc>
        <w:tc>
          <w:tcPr>
            <w:tcW w:type="dxa" w:w="1701"/>
            <w:shd w:val="clear" w:fill="E8F3EC"/>
            <w:vAlign w:val="center"/>
          </w:tcPr>
          <w:p>
            <w:pPr>
              <w:spacing w:before="40" w:after="40"/>
              <w:jc w:val="center"/>
            </w:pPr>
            <w:r>
              <w:rPr>
                <w:b w:val="0"/>
                <w:color w:val="1F6B3A"/>
                <w:sz w:val="14"/>
              </w:rPr>
              <w:t>Editorial process</w:t>
            </w:r>
          </w:p>
        </w:tc>
        <w:tc>
          <w:tcPr>
            <w:tcW w:type="dxa" w:w="1701"/>
            <w:shd w:val="clear" w:fill="E8F3EC"/>
            <w:vAlign w:val="center"/>
          </w:tcPr>
          <w:p>
            <w:pPr>
              <w:spacing w:before="40" w:after="40"/>
              <w:jc w:val="center"/>
            </w:pPr>
            <w:r>
              <w:rPr>
                <w:b w:val="0"/>
                <w:color w:val="1F6B3A"/>
                <w:sz w:val="14"/>
              </w:rPr>
              <w:t>Editorial process</w:t>
            </w:r>
          </w:p>
        </w:tc>
        <w:tc>
          <w:tcPr>
            <w:tcW w:type="dxa" w:w="1701"/>
            <w:shd w:val="clear" w:fill="E8F3EC"/>
            <w:vAlign w:val="center"/>
          </w:tcPr>
          <w:p>
            <w:pPr>
              <w:spacing w:before="40" w:after="40"/>
              <w:jc w:val="center"/>
            </w:pPr>
            <w:r>
              <w:rPr>
                <w:b w:val="0"/>
                <w:color w:val="1F6B3A"/>
                <w:sz w:val="14"/>
              </w:rPr>
              <w:t>Editorial process</w:t>
            </w:r>
          </w:p>
        </w:tc>
        <w:tc>
          <w:tcPr>
            <w:tcW w:type="dxa" w:w="1701"/>
            <w:shd w:val="clear" w:fill="E8F3EC"/>
            <w:vAlign w:val="center"/>
          </w:tcPr>
          <w:p>
            <w:pPr>
              <w:spacing w:before="40" w:after="40"/>
              <w:jc w:val="center"/>
            </w:pPr>
            <w:r>
              <w:rPr>
                <w:b w:val="0"/>
                <w:color w:val="1F6B3A"/>
                <w:sz w:val="14"/>
              </w:rPr>
              <w:t>Editorial process</w:t>
            </w:r>
          </w:p>
        </w:tc>
        <w:tc>
          <w:tcPr>
            <w:tcW w:type="dxa" w:w="1701"/>
            <w:shd w:val="clear" w:fill="E8F3EC"/>
            <w:vAlign w:val="center"/>
          </w:tcPr>
          <w:p>
            <w:pPr>
              <w:spacing w:before="40" w:after="40"/>
              <w:jc w:val="center"/>
            </w:pPr>
            <w:r>
              <w:rPr>
                <w:b w:val="0"/>
                <w:color w:val="1F6B3A"/>
                <w:sz w:val="14"/>
              </w:rPr>
              <w:t>Editorial process</w:t>
            </w:r>
          </w:p>
        </w:tc>
        <w:tc>
          <w:tcPr>
            <w:tcW w:type="dxa" w:w="1701"/>
            <w:shd w:val="clear" w:fill="E8F3EC"/>
            <w:vAlign w:val="center"/>
          </w:tcPr>
          <w:p>
            <w:pPr>
              <w:spacing w:before="40" w:after="40"/>
              <w:jc w:val="center"/>
            </w:pPr>
            <w:r>
              <w:rPr>
                <w:b w:val="0"/>
                <w:color w:val="1F6B3A"/>
                <w:sz w:val="14"/>
              </w:rPr>
              <w:t>Editorial process</w:t>
            </w:r>
          </w:p>
        </w:tc>
      </w:tr>
      <w:tr>
        <w:tc>
          <w:tcPr>
            <w:tcW w:type="dxa" w:w="2948"/>
          </w:tcPr>
          <w:p>
            <w:pPr>
              <w:spacing w:before="40" w:after="40"/>
              <w:jc w:val="left"/>
            </w:pPr>
            <w:r>
              <w:rPr>
                <w:b/>
                <w:color w:val="14213D"/>
                <w:sz w:val="16"/>
              </w:rPr>
              <w:t>Open AI chat with a child</w:t>
            </w:r>
          </w:p>
          <w:p>
            <w:pPr>
              <w:spacing w:before="0" w:after="40"/>
            </w:pPr>
            <w:r>
              <w:rPr>
                <w:color w:val="5B6D86"/>
                <w:sz w:val="13"/>
              </w:rPr>
              <w:t>A free-text conversation</w:t>
            </w:r>
          </w:p>
        </w:tc>
        <w:tc>
          <w:tcPr>
            <w:tcW w:type="dxa" w:w="1701"/>
            <w:shd w:val="clear" w:fill="E8F3EC"/>
            <w:vAlign w:val="center"/>
          </w:tcPr>
          <w:p>
            <w:pPr>
              <w:spacing w:before="40" w:after="40"/>
              <w:jc w:val="center"/>
            </w:pPr>
            <w:r>
              <w:rPr>
                <w:b/>
                <w:color w:val="1F6B3A"/>
                <w:sz w:val="14"/>
              </w:rPr>
              <w:t>The product's centre</w:t>
            </w:r>
          </w:p>
        </w:tc>
        <w:tc>
          <w:tcPr>
            <w:tcW w:type="dxa" w:w="1701"/>
            <w:shd w:val="clear" w:fill="FBECEB"/>
            <w:vAlign w:val="center"/>
          </w:tcPr>
          <w:p>
            <w:pPr>
              <w:spacing w:before="40" w:after="40"/>
              <w:jc w:val="center"/>
            </w:pPr>
            <w:r>
              <w:rPr>
                <w:b w:val="0"/>
                <w:color w:val="9F2D24"/>
                <w:sz w:val="14"/>
              </w:rPr>
              <w:t>None</w:t>
            </w:r>
          </w:p>
        </w:tc>
        <w:tc>
          <w:tcPr>
            <w:tcW w:type="dxa" w:w="1701"/>
            <w:shd w:val="clear" w:fill="FBECEB"/>
            <w:vAlign w:val="center"/>
          </w:tcPr>
          <w:p>
            <w:pPr>
              <w:spacing w:before="40" w:after="40"/>
              <w:jc w:val="center"/>
            </w:pPr>
            <w:r>
              <w:rPr>
                <w:b w:val="0"/>
                <w:color w:val="9F2D24"/>
                <w:sz w:val="14"/>
              </w:rPr>
              <w:t>None</w:t>
            </w:r>
          </w:p>
        </w:tc>
        <w:tc>
          <w:tcPr>
            <w:tcW w:type="dxa" w:w="1701"/>
            <w:shd w:val="clear" w:fill="FAF1E0"/>
            <w:vAlign w:val="center"/>
          </w:tcPr>
          <w:p>
            <w:pPr>
              <w:spacing w:before="40" w:after="40"/>
              <w:jc w:val="center"/>
            </w:pPr>
            <w:r>
              <w:rPr>
                <w:b w:val="0"/>
                <w:color w:val="8A5807"/>
                <w:sz w:val="14"/>
              </w:rPr>
              <w:t>Tutoring partner</w:t>
            </w:r>
          </w:p>
        </w:tc>
        <w:tc>
          <w:tcPr>
            <w:tcW w:type="dxa" w:w="1701"/>
            <w:shd w:val="clear" w:fill="FBECEB"/>
            <w:vAlign w:val="center"/>
          </w:tcPr>
          <w:p>
            <w:pPr>
              <w:spacing w:before="40" w:after="40"/>
              <w:jc w:val="center"/>
            </w:pPr>
            <w:r>
              <w:rPr>
                <w:b w:val="0"/>
                <w:color w:val="9F2D24"/>
                <w:sz w:val="14"/>
              </w:rPr>
              <w:t>None</w:t>
            </w:r>
          </w:p>
        </w:tc>
        <w:tc>
          <w:tcPr>
            <w:tcW w:type="dxa" w:w="1701"/>
            <w:shd w:val="clear" w:fill="FBECEB"/>
            <w:vAlign w:val="center"/>
          </w:tcPr>
          <w:p>
            <w:pPr>
              <w:spacing w:before="40" w:after="40"/>
              <w:jc w:val="center"/>
            </w:pPr>
            <w:r>
              <w:rPr>
                <w:b w:val="0"/>
                <w:color w:val="9F2D24"/>
                <w:sz w:val="14"/>
              </w:rPr>
              <w:t>None</w:t>
            </w:r>
          </w:p>
        </w:tc>
        <w:tc>
          <w:tcPr>
            <w:tcW w:type="dxa" w:w="1701"/>
            <w:shd w:val="clear" w:fill="FBECEB"/>
            <w:vAlign w:val="center"/>
          </w:tcPr>
          <w:p>
            <w:pPr>
              <w:spacing w:before="40" w:after="40"/>
              <w:jc w:val="center"/>
            </w:pPr>
            <w:r>
              <w:rPr>
                <w:b w:val="0"/>
                <w:color w:val="9F2D24"/>
                <w:sz w:val="14"/>
              </w:rPr>
              <w:t>None</w:t>
            </w:r>
          </w:p>
        </w:tc>
      </w:tr>
      <w:tr>
        <w:tc>
          <w:tcPr>
            <w:tcW w:type="dxa" w:w="2948"/>
          </w:tcPr>
          <w:p>
            <w:pPr>
              <w:spacing w:before="40" w:after="40"/>
              <w:jc w:val="left"/>
            </w:pPr>
            <w:r>
              <w:rPr>
                <w:b/>
                <w:color w:val="14213D"/>
                <w:sz w:val="16"/>
              </w:rPr>
              <w:t>Safeguarding on that chat</w:t>
            </w:r>
          </w:p>
          <w:p>
            <w:pPr>
              <w:spacing w:before="0" w:after="40"/>
            </w:pPr>
            <w:r>
              <w:rPr>
                <w:color w:val="5B6D86"/>
                <w:sz w:val="13"/>
              </w:rPr>
              <w:t>Refusals stored, ranked, alerted</w:t>
            </w:r>
          </w:p>
        </w:tc>
        <w:tc>
          <w:tcPr>
            <w:tcW w:type="dxa" w:w="1701"/>
            <w:shd w:val="clear" w:fill="E8F3EC"/>
            <w:vAlign w:val="center"/>
          </w:tcPr>
          <w:p>
            <w:pPr>
              <w:spacing w:before="40" w:after="40"/>
              <w:jc w:val="center"/>
            </w:pPr>
            <w:r>
              <w:rPr>
                <w:b/>
                <w:color w:val="1F6B3A"/>
                <w:sz w:val="14"/>
              </w:rPr>
              <w:t>Flags, severity, email alerts</w:t>
            </w:r>
          </w:p>
        </w:tc>
        <w:tc>
          <w:tcPr>
            <w:tcW w:type="dxa" w:w="1701"/>
            <w:shd w:val="clear" w:fill="EEF3F8"/>
            <w:vAlign w:val="center"/>
          </w:tcPr>
          <w:p>
            <w:pPr>
              <w:spacing w:before="40" w:after="40"/>
              <w:jc w:val="center"/>
            </w:pPr>
            <w:r>
              <w:rPr>
                <w:b w:val="0"/>
                <w:color w:val="5B6D86"/>
                <w:sz w:val="14"/>
              </w:rPr>
              <w:t>No chat to safeguard</w:t>
            </w:r>
          </w:p>
        </w:tc>
        <w:tc>
          <w:tcPr>
            <w:tcW w:type="dxa" w:w="1701"/>
            <w:shd w:val="clear" w:fill="EEF3F8"/>
            <w:vAlign w:val="center"/>
          </w:tcPr>
          <w:p>
            <w:pPr>
              <w:spacing w:before="40" w:after="40"/>
              <w:jc w:val="center"/>
            </w:pPr>
            <w:r>
              <w:rPr>
                <w:b w:val="0"/>
                <w:color w:val="5B6D86"/>
                <w:sz w:val="14"/>
              </w:rPr>
              <w:t>No chat to safeguard</w:t>
            </w:r>
          </w:p>
        </w:tc>
        <w:tc>
          <w:tcPr>
            <w:tcW w:type="dxa" w:w="1701"/>
            <w:shd w:val="clear" w:fill="EEF3F8"/>
            <w:vAlign w:val="center"/>
          </w:tcPr>
          <w:p>
            <w:pPr>
              <w:spacing w:before="40" w:after="40"/>
              <w:jc w:val="center"/>
            </w:pPr>
            <w:r>
              <w:rPr>
                <w:b w:val="0"/>
                <w:color w:val="5B6D86"/>
                <w:sz w:val="14"/>
              </w:rPr>
              <w:t>Not applicable</w:t>
            </w:r>
          </w:p>
        </w:tc>
        <w:tc>
          <w:tcPr>
            <w:tcW w:type="dxa" w:w="1701"/>
            <w:shd w:val="clear" w:fill="EEF3F8"/>
            <w:vAlign w:val="center"/>
          </w:tcPr>
          <w:p>
            <w:pPr>
              <w:spacing w:before="40" w:after="40"/>
              <w:jc w:val="center"/>
            </w:pPr>
            <w:r>
              <w:rPr>
                <w:b w:val="0"/>
                <w:color w:val="5B6D86"/>
                <w:sz w:val="14"/>
              </w:rPr>
              <w:t>No chat to safeguard</w:t>
            </w:r>
          </w:p>
        </w:tc>
        <w:tc>
          <w:tcPr>
            <w:tcW w:type="dxa" w:w="1701"/>
            <w:shd w:val="clear" w:fill="EEF3F8"/>
            <w:vAlign w:val="center"/>
          </w:tcPr>
          <w:p>
            <w:pPr>
              <w:spacing w:before="40" w:after="40"/>
              <w:jc w:val="center"/>
            </w:pPr>
            <w:r>
              <w:rPr>
                <w:b w:val="0"/>
                <w:color w:val="5B6D86"/>
                <w:sz w:val="14"/>
              </w:rPr>
              <w:t>No chat to safeguard</w:t>
            </w:r>
          </w:p>
        </w:tc>
        <w:tc>
          <w:tcPr>
            <w:tcW w:type="dxa" w:w="1701"/>
            <w:shd w:val="clear" w:fill="EEF3F8"/>
            <w:vAlign w:val="center"/>
          </w:tcPr>
          <w:p>
            <w:pPr>
              <w:spacing w:before="40" w:after="40"/>
              <w:jc w:val="center"/>
            </w:pPr>
            <w:r>
              <w:rPr>
                <w:b w:val="0"/>
                <w:color w:val="5B6D86"/>
                <w:sz w:val="14"/>
              </w:rPr>
              <w:t>No chat to safeguard</w:t>
            </w:r>
          </w:p>
        </w:tc>
      </w:tr>
      <w:tr>
        <w:tc>
          <w:tcPr>
            <w:tcW w:type="dxa" w:w="2948"/>
          </w:tcPr>
          <w:p>
            <w:pPr>
              <w:spacing w:before="40" w:after="40"/>
              <w:jc w:val="left"/>
            </w:pPr>
            <w:r>
              <w:rPr>
                <w:b/>
                <w:color w:val="14213D"/>
                <w:sz w:val="16"/>
              </w:rPr>
              <w:t>Cost per question to the business</w:t>
            </w:r>
          </w:p>
          <w:p>
            <w:pPr>
              <w:spacing w:before="0" w:after="40"/>
            </w:pPr>
            <w:r>
              <w:rPr>
                <w:color w:val="5B6D86"/>
                <w:sz w:val="13"/>
              </w:rPr>
              <w:t>What each answer costs to serve</w:t>
            </w:r>
          </w:p>
        </w:tc>
        <w:tc>
          <w:tcPr>
            <w:tcW w:type="dxa" w:w="1701"/>
            <w:shd w:val="clear" w:fill="FBECEB"/>
            <w:vAlign w:val="center"/>
          </w:tcPr>
          <w:p>
            <w:pPr>
              <w:spacing w:before="40" w:after="40"/>
              <w:jc w:val="center"/>
            </w:pPr>
            <w:r>
              <w:rPr>
                <w:b/>
                <w:color w:val="9F2D24"/>
                <w:sz w:val="14"/>
              </w:rPr>
              <w:t>A model call each time</w:t>
            </w:r>
          </w:p>
        </w:tc>
        <w:tc>
          <w:tcPr>
            <w:tcW w:type="dxa" w:w="1701"/>
            <w:shd w:val="clear" w:fill="E8F3EC"/>
            <w:vAlign w:val="center"/>
          </w:tcPr>
          <w:p>
            <w:pPr>
              <w:spacing w:before="40" w:after="40"/>
              <w:jc w:val="center"/>
            </w:pPr>
            <w:r>
              <w:rPr>
                <w:b w:val="0"/>
                <w:color w:val="1F6B3A"/>
                <w:sz w:val="14"/>
              </w:rPr>
              <w:t>Near zero</w:t>
            </w:r>
          </w:p>
        </w:tc>
        <w:tc>
          <w:tcPr>
            <w:tcW w:type="dxa" w:w="1701"/>
            <w:shd w:val="clear" w:fill="E8F3EC"/>
            <w:vAlign w:val="center"/>
          </w:tcPr>
          <w:p>
            <w:pPr>
              <w:spacing w:before="40" w:after="40"/>
              <w:jc w:val="center"/>
            </w:pPr>
            <w:r>
              <w:rPr>
                <w:b w:val="0"/>
                <w:color w:val="1F6B3A"/>
                <w:sz w:val="14"/>
              </w:rPr>
              <w:t>Non-generative AI, near zero</w:t>
            </w:r>
          </w:p>
        </w:tc>
        <w:tc>
          <w:tcPr>
            <w:tcW w:type="dxa" w:w="1701"/>
            <w:shd w:val="clear" w:fill="E8F3EC"/>
            <w:vAlign w:val="center"/>
          </w:tcPr>
          <w:p>
            <w:pPr>
              <w:spacing w:before="40" w:after="40"/>
              <w:jc w:val="center"/>
            </w:pPr>
            <w:r>
              <w:rPr>
                <w:b w:val="0"/>
                <w:color w:val="1F6B3A"/>
                <w:sz w:val="14"/>
              </w:rPr>
              <w:t>Near zero</w:t>
            </w:r>
          </w:p>
        </w:tc>
        <w:tc>
          <w:tcPr>
            <w:tcW w:type="dxa" w:w="1701"/>
            <w:shd w:val="clear" w:fill="E8F3EC"/>
            <w:vAlign w:val="center"/>
          </w:tcPr>
          <w:p>
            <w:pPr>
              <w:spacing w:before="40" w:after="40"/>
              <w:jc w:val="center"/>
            </w:pPr>
            <w:r>
              <w:rPr>
                <w:b w:val="0"/>
                <w:color w:val="1F6B3A"/>
                <w:sz w:val="14"/>
              </w:rPr>
              <w:t>Near zero</w:t>
            </w:r>
          </w:p>
        </w:tc>
        <w:tc>
          <w:tcPr>
            <w:tcW w:type="dxa" w:w="1701"/>
            <w:shd w:val="clear" w:fill="E8F3EC"/>
            <w:vAlign w:val="center"/>
          </w:tcPr>
          <w:p>
            <w:pPr>
              <w:spacing w:before="40" w:after="40"/>
              <w:jc w:val="center"/>
            </w:pPr>
            <w:r>
              <w:rPr>
                <w:b w:val="0"/>
                <w:color w:val="1F6B3A"/>
                <w:sz w:val="14"/>
              </w:rPr>
              <w:t>Near zero</w:t>
            </w:r>
          </w:p>
        </w:tc>
        <w:tc>
          <w:tcPr>
            <w:tcW w:type="dxa" w:w="1701"/>
            <w:shd w:val="clear" w:fill="E8F3EC"/>
            <w:vAlign w:val="center"/>
          </w:tcPr>
          <w:p>
            <w:pPr>
              <w:spacing w:before="40" w:after="40"/>
              <w:jc w:val="center"/>
            </w:pPr>
            <w:r>
              <w:rPr>
                <w:b w:val="0"/>
                <w:color w:val="1F6B3A"/>
                <w:sz w:val="14"/>
              </w:rPr>
              <w:t>Near zero</w:t>
            </w:r>
          </w:p>
        </w:tc>
      </w:tr>
      <w:tr>
        <w:tc>
          <w:tcPr>
            <w:tcW w:type="dxa" w:w="2948"/>
          </w:tcPr>
          <w:p>
            <w:pPr>
              <w:spacing w:before="40" w:after="40"/>
              <w:jc w:val="left"/>
            </w:pPr>
            <w:r>
              <w:rPr>
                <w:b/>
                <w:color w:val="14213D"/>
                <w:sz w:val="16"/>
              </w:rPr>
              <w:t>Outcome guarantee</w:t>
            </w:r>
          </w:p>
          <w:p>
            <w:pPr>
              <w:spacing w:before="0" w:after="40"/>
            </w:pPr>
            <w:r>
              <w:rPr>
                <w:color w:val="5B6D86"/>
                <w:sz w:val="13"/>
              </w:rPr>
              <w:t>Money back against a grade</w:t>
            </w:r>
          </w:p>
        </w:tc>
        <w:tc>
          <w:tcPr>
            <w:tcW w:type="dxa" w:w="1701"/>
            <w:shd w:val="clear" w:fill="FBECEB"/>
            <w:vAlign w:val="center"/>
          </w:tcPr>
          <w:p>
            <w:pPr>
              <w:spacing w:before="40" w:after="40"/>
              <w:jc w:val="center"/>
            </w:pPr>
            <w:r>
              <w:rPr>
                <w:b/>
                <w:color w:val="9F2D24"/>
                <w:sz w:val="14"/>
              </w:rPr>
              <w:t>—</w:t>
            </w:r>
          </w:p>
        </w:tc>
        <w:tc>
          <w:tcPr>
            <w:tcW w:type="dxa" w:w="1701"/>
            <w:shd w:val="clear" w:fill="FBECEB"/>
            <w:vAlign w:val="center"/>
          </w:tcPr>
          <w:p>
            <w:pPr>
              <w:spacing w:before="40" w:after="40"/>
              <w:jc w:val="center"/>
            </w:pPr>
            <w:r>
              <w:rPr>
                <w:b w:val="0"/>
                <w:color w:val="9F2D24"/>
                <w:sz w:val="14"/>
              </w:rPr>
              <w:t>—</w:t>
            </w:r>
          </w:p>
        </w:tc>
        <w:tc>
          <w:tcPr>
            <w:tcW w:type="dxa" w:w="1701"/>
            <w:shd w:val="clear" w:fill="FBECEB"/>
            <w:vAlign w:val="center"/>
          </w:tcPr>
          <w:p>
            <w:pPr>
              <w:spacing w:before="40" w:after="40"/>
              <w:jc w:val="center"/>
            </w:pPr>
            <w:r>
              <w:rPr>
                <w:b w:val="0"/>
                <w:color w:val="9F2D24"/>
                <w:sz w:val="14"/>
              </w:rPr>
              <w:t>—</w:t>
            </w:r>
          </w:p>
        </w:tc>
        <w:tc>
          <w:tcPr>
            <w:tcW w:type="dxa" w:w="1701"/>
            <w:shd w:val="clear" w:fill="E8F3EC"/>
            <w:vAlign w:val="center"/>
          </w:tcPr>
          <w:p>
            <w:pPr>
              <w:spacing w:before="40" w:after="40"/>
              <w:jc w:val="center"/>
            </w:pPr>
            <w:r>
              <w:rPr>
                <w:b w:val="0"/>
                <w:color w:val="1F6B3A"/>
                <w:sz w:val="14"/>
              </w:rPr>
              <w:t>£5.99/month add-on</w:t>
            </w:r>
          </w:p>
        </w:tc>
        <w:tc>
          <w:tcPr>
            <w:tcW w:type="dxa" w:w="1701"/>
            <w:shd w:val="clear" w:fill="FBECEB"/>
            <w:vAlign w:val="center"/>
          </w:tcPr>
          <w:p>
            <w:pPr>
              <w:spacing w:before="40" w:after="40"/>
              <w:jc w:val="center"/>
            </w:pPr>
            <w:r>
              <w:rPr>
                <w:b w:val="0"/>
                <w:color w:val="9F2D24"/>
                <w:sz w:val="14"/>
              </w:rPr>
              <w:t>—</w:t>
            </w:r>
          </w:p>
        </w:tc>
        <w:tc>
          <w:tcPr>
            <w:tcW w:type="dxa" w:w="1701"/>
            <w:shd w:val="clear" w:fill="FBECEB"/>
            <w:vAlign w:val="center"/>
          </w:tcPr>
          <w:p>
            <w:pPr>
              <w:spacing w:before="40" w:after="40"/>
              <w:jc w:val="center"/>
            </w:pPr>
            <w:r>
              <w:rPr>
                <w:b w:val="0"/>
                <w:color w:val="9F2D24"/>
                <w:sz w:val="14"/>
              </w:rPr>
              <w:t>—</w:t>
            </w:r>
          </w:p>
        </w:tc>
        <w:tc>
          <w:tcPr>
            <w:tcW w:type="dxa" w:w="1701"/>
            <w:shd w:val="clear" w:fill="E8F3EC"/>
            <w:vAlign w:val="center"/>
          </w:tcPr>
          <w:p>
            <w:pPr>
              <w:spacing w:before="40" w:after="40"/>
              <w:jc w:val="center"/>
            </w:pPr>
            <w:r>
              <w:rPr>
                <w:b w:val="0"/>
                <w:color w:val="1F6B3A"/>
                <w:sz w:val="14"/>
              </w:rPr>
              <w:t>Grade guarantee</w:t>
            </w:r>
          </w:p>
        </w:tc>
      </w:tr>
      <w:tr>
        <w:tc>
          <w:tcPr>
            <w:tcW w:type="dxa" w:w="2948"/>
          </w:tcPr>
          <w:p>
            <w:pPr>
              <w:spacing w:before="40" w:after="40"/>
              <w:jc w:val="left"/>
            </w:pPr>
            <w:r>
              <w:rPr>
                <w:b/>
                <w:color w:val="14213D"/>
                <w:sz w:val="16"/>
              </w:rPr>
              <w:t>Habit mechanics</w:t>
            </w:r>
          </w:p>
          <w:p>
            <w:pPr>
              <w:spacing w:before="0" w:after="40"/>
            </w:pPr>
            <w:r>
              <w:rPr>
                <w:color w:val="5B6D86"/>
                <w:sz w:val="13"/>
              </w:rPr>
              <w:t>Streaks, daily goals, XP</w:t>
            </w:r>
          </w:p>
        </w:tc>
        <w:tc>
          <w:tcPr>
            <w:tcW w:type="dxa" w:w="1701"/>
            <w:shd w:val="clear" w:fill="FBECEB"/>
            <w:vAlign w:val="center"/>
          </w:tcPr>
          <w:p>
            <w:pPr>
              <w:spacing w:before="40" w:after="40"/>
              <w:jc w:val="center"/>
            </w:pPr>
            <w:r>
              <w:rPr>
                <w:b/>
                <w:color w:val="9F2D24"/>
                <w:sz w:val="14"/>
              </w:rPr>
              <w:t>—</w:t>
            </w:r>
          </w:p>
        </w:tc>
        <w:tc>
          <w:tcPr>
            <w:tcW w:type="dxa" w:w="1701"/>
            <w:shd w:val="clear" w:fill="E8F3EC"/>
            <w:vAlign w:val="center"/>
          </w:tcPr>
          <w:p>
            <w:pPr>
              <w:spacing w:before="40" w:after="40"/>
              <w:jc w:val="center"/>
            </w:pPr>
            <w:r>
              <w:rPr>
                <w:b w:val="0"/>
                <w:color w:val="1F6B3A"/>
                <w:sz w:val="14"/>
              </w:rPr>
              <w:t>XP and rewards</w:t>
            </w:r>
          </w:p>
        </w:tc>
        <w:tc>
          <w:tcPr>
            <w:tcW w:type="dxa" w:w="1701"/>
            <w:shd w:val="clear" w:fill="FAF1E0"/>
            <w:vAlign w:val="center"/>
          </w:tcPr>
          <w:p>
            <w:pPr>
              <w:spacing w:before="40" w:after="40"/>
              <w:jc w:val="center"/>
            </w:pPr>
            <w:r>
              <w:rPr>
                <w:b w:val="0"/>
                <w:color w:val="8A5807"/>
                <w:sz w:val="14"/>
              </w:rPr>
              <w:t>Progress nudges</w:t>
            </w:r>
          </w:p>
        </w:tc>
        <w:tc>
          <w:tcPr>
            <w:tcW w:type="dxa" w:w="1701"/>
            <w:shd w:val="clear" w:fill="E8F3EC"/>
            <w:vAlign w:val="center"/>
          </w:tcPr>
          <w:p>
            <w:pPr>
              <w:spacing w:before="40" w:after="40"/>
              <w:jc w:val="center"/>
            </w:pPr>
            <w:r>
              <w:rPr>
                <w:b w:val="0"/>
                <w:color w:val="1F6B3A"/>
                <w:sz w:val="14"/>
              </w:rPr>
              <w:t>Gamified</w:t>
            </w:r>
          </w:p>
        </w:tc>
        <w:tc>
          <w:tcPr>
            <w:tcW w:type="dxa" w:w="1701"/>
            <w:shd w:val="clear" w:fill="E8F3EC"/>
            <w:vAlign w:val="center"/>
          </w:tcPr>
          <w:p>
            <w:pPr>
              <w:spacing w:before="40" w:after="40"/>
              <w:jc w:val="center"/>
            </w:pPr>
            <w:r>
              <w:rPr>
                <w:b w:val="0"/>
                <w:color w:val="1F6B3A"/>
                <w:sz w:val="14"/>
              </w:rPr>
              <w:t>Daily goal</w:t>
            </w:r>
          </w:p>
        </w:tc>
        <w:tc>
          <w:tcPr>
            <w:tcW w:type="dxa" w:w="1701"/>
            <w:shd w:val="clear" w:fill="FBECEB"/>
            <w:vAlign w:val="center"/>
          </w:tcPr>
          <w:p>
            <w:pPr>
              <w:spacing w:before="40" w:after="40"/>
              <w:jc w:val="center"/>
            </w:pPr>
            <w:r>
              <w:rPr>
                <w:b w:val="0"/>
                <w:color w:val="9F2D24"/>
                <w:sz w:val="14"/>
              </w:rPr>
              <w:t>—</w:t>
            </w:r>
          </w:p>
        </w:tc>
        <w:tc>
          <w:tcPr>
            <w:tcW w:type="dxa" w:w="1701"/>
            <w:shd w:val="clear" w:fill="FAF1E0"/>
            <w:vAlign w:val="center"/>
          </w:tcPr>
          <w:p>
            <w:pPr>
              <w:spacing w:before="40" w:after="40"/>
              <w:jc w:val="center"/>
            </w:pPr>
            <w:r>
              <w:rPr>
                <w:b w:val="0"/>
                <w:color w:val="8A5807"/>
                <w:sz w:val="14"/>
              </w:rPr>
              <w:t>Course progress</w:t>
            </w:r>
          </w:p>
        </w:tc>
      </w:tr>
      <w:tr>
        <w:tc>
          <w:tcPr>
            <w:tcW w:type="dxa" w:w="2948"/>
          </w:tcPr>
          <w:p>
            <w:pPr>
              <w:spacing w:before="40" w:after="40"/>
              <w:jc w:val="left"/>
            </w:pPr>
            <w:r>
              <w:rPr>
                <w:b/>
                <w:color w:val="14213D"/>
                <w:sz w:val="16"/>
              </w:rPr>
              <w:t>Proven at scale</w:t>
            </w:r>
          </w:p>
          <w:p>
            <w:pPr>
              <w:spacing w:before="0" w:after="40"/>
            </w:pPr>
            <w:r>
              <w:rPr>
                <w:color w:val="5B6D86"/>
                <w:sz w:val="13"/>
              </w:rPr>
              <w:t>In use by real cohorts</w:t>
            </w:r>
          </w:p>
        </w:tc>
        <w:tc>
          <w:tcPr>
            <w:tcW w:type="dxa" w:w="1701"/>
            <w:shd w:val="clear" w:fill="FBECEB"/>
            <w:vAlign w:val="center"/>
          </w:tcPr>
          <w:p>
            <w:pPr>
              <w:spacing w:before="40" w:after="40"/>
              <w:jc w:val="center"/>
            </w:pPr>
            <w:r>
              <w:rPr>
                <w:b/>
                <w:color w:val="9F2D24"/>
                <w:sz w:val="14"/>
              </w:rPr>
              <w:t>Never deployed</w:t>
            </w:r>
          </w:p>
        </w:tc>
        <w:tc>
          <w:tcPr>
            <w:tcW w:type="dxa" w:w="1701"/>
            <w:shd w:val="clear" w:fill="E8F3EC"/>
            <w:vAlign w:val="center"/>
          </w:tcPr>
          <w:p>
            <w:pPr>
              <w:spacing w:before="40" w:after="40"/>
              <w:jc w:val="center"/>
            </w:pPr>
            <w:r>
              <w:rPr>
                <w:b w:val="0"/>
                <w:color w:val="1F6B3A"/>
                <w:sz w:val="14"/>
              </w:rPr>
              <w:t>Widely used in UK secondaries</w:t>
            </w:r>
          </w:p>
        </w:tc>
        <w:tc>
          <w:tcPr>
            <w:tcW w:type="dxa" w:w="1701"/>
            <w:shd w:val="clear" w:fill="E8F3EC"/>
            <w:vAlign w:val="center"/>
          </w:tcPr>
          <w:p>
            <w:pPr>
              <w:spacing w:before="40" w:after="40"/>
              <w:jc w:val="center"/>
            </w:pPr>
            <w:r>
              <w:rPr>
                <w:b w:val="0"/>
                <w:color w:val="1F6B3A"/>
                <w:sz w:val="14"/>
              </w:rPr>
              <w:t>International</w:t>
            </w:r>
          </w:p>
        </w:tc>
        <w:tc>
          <w:tcPr>
            <w:tcW w:type="dxa" w:w="1701"/>
            <w:shd w:val="clear" w:fill="E8F3EC"/>
            <w:vAlign w:val="center"/>
          </w:tcPr>
          <w:p>
            <w:pPr>
              <w:spacing w:before="40" w:after="40"/>
              <w:jc w:val="center"/>
            </w:pPr>
            <w:r>
              <w:rPr>
                <w:b w:val="0"/>
                <w:color w:val="1F6B3A"/>
                <w:sz w:val="14"/>
              </w:rPr>
              <w:t>Millions of students</w:t>
            </w:r>
          </w:p>
        </w:tc>
        <w:tc>
          <w:tcPr>
            <w:tcW w:type="dxa" w:w="1701"/>
            <w:shd w:val="clear" w:fill="E8F3EC"/>
            <w:vAlign w:val="center"/>
          </w:tcPr>
          <w:p>
            <w:pPr>
              <w:spacing w:before="40" w:after="40"/>
              <w:jc w:val="center"/>
            </w:pPr>
            <w:r>
              <w:rPr>
                <w:b w:val="0"/>
                <w:color w:val="1F6B3A"/>
                <w:sz w:val="14"/>
              </w:rPr>
              <w:t>Established</w:t>
            </w:r>
          </w:p>
        </w:tc>
        <w:tc>
          <w:tcPr>
            <w:tcW w:type="dxa" w:w="1701"/>
            <w:shd w:val="clear" w:fill="E8F3EC"/>
            <w:vAlign w:val="center"/>
          </w:tcPr>
          <w:p>
            <w:pPr>
              <w:spacing w:before="40" w:after="40"/>
              <w:jc w:val="center"/>
            </w:pPr>
            <w:r>
              <w:rPr>
                <w:b w:val="0"/>
                <w:color w:val="1F6B3A"/>
                <w:sz w:val="14"/>
              </w:rPr>
              <w:t>Established</w:t>
            </w:r>
          </w:p>
        </w:tc>
        <w:tc>
          <w:tcPr>
            <w:tcW w:type="dxa" w:w="1701"/>
            <w:shd w:val="clear" w:fill="E8F3EC"/>
            <w:vAlign w:val="center"/>
          </w:tcPr>
          <w:p>
            <w:pPr>
              <w:spacing w:before="40" w:after="40"/>
              <w:jc w:val="center"/>
            </w:pPr>
            <w:r>
              <w:rPr>
                <w:b w:val="0"/>
                <w:color w:val="1F6B3A"/>
                <w:sz w:val="14"/>
              </w:rPr>
              <w:t>100,000+ students</w:t>
            </w:r>
          </w:p>
        </w:tc>
      </w:tr>
    </w:tbl>
    <w:p>
      <w:pPr>
        <w:spacing w:before="120"/>
      </w:pPr>
      <w:r>
        <w:rPr>
          <w:i/>
          <w:color w:val="5B6D86"/>
          <w:sz w:val="16"/>
        </w:rPr>
        <w:t>Green: does this well.   Amber: partial or indirect.   Red: does not do it.   Grey: not applicable, because the product has no such feature to begin with.</w:t>
      </w:r>
    </w:p>
    <w:p>
      <w:r>
        <w:br w:type="page"/>
      </w:r>
    </w:p>
    <w:p>
      <w:pPr>
        <w:spacing w:before="360" w:after="80"/>
      </w:pPr>
      <w:r>
        <w:rPr>
          <w:b/>
          <w:color w:val="14213D"/>
          <w:sz w:val="28"/>
        </w:rPr>
        <w:t>Worth taking from them</w:t>
      </w:r>
    </w:p>
    <w:p>
      <w:pPr>
        <w:spacing w:after="160"/>
        <w:ind w:left="227"/>
      </w:pPr>
      <w:r>
        <w:rPr>
          <w:b/>
          <w:color w:val="14213D"/>
          <w:sz w:val="20"/>
        </w:rPr>
        <w:t xml:space="preserve">Calibrate on real evidence, not five questions  </w:t>
      </w:r>
      <w:r>
        <w:rPr>
          <w:color w:val="3C4D66"/>
          <w:sz w:val="20"/>
        </w:rPr>
        <w:t>Sparx profiles ability and working speed over roughly 100 questions, then sets work to a target duration rather than a fixed count. Education Hub's diagnostic is five questions, and it already withholds a grade until 15 checks exist — extend that honesty to difficulty.</w:t>
      </w:r>
    </w:p>
    <w:p>
      <w:pPr>
        <w:spacing w:after="160"/>
        <w:ind w:left="227"/>
      </w:pPr>
      <w:r>
        <w:rPr>
          <w:b/>
          <w:color w:val="14213D"/>
          <w:sz w:val="20"/>
        </w:rPr>
        <w:t xml:space="preserve">Let voluntary practice change what comes next  </w:t>
      </w:r>
      <w:r>
        <w:rPr>
          <w:color w:val="3C4D66"/>
          <w:sz w:val="20"/>
        </w:rPr>
        <w:t>In Sparx, Independent Learning feeds the algorithm, so a learner who masters a topic alone is set harder work later. It rewards self-direction mechanically rather than with points.</w:t>
      </w:r>
    </w:p>
    <w:p>
      <w:pPr>
        <w:spacing w:after="160"/>
        <w:ind w:left="227"/>
      </w:pPr>
      <w:r>
        <w:rPr>
          <w:b/>
          <w:color w:val="14213D"/>
          <w:sz w:val="20"/>
        </w:rPr>
        <w:t xml:space="preserve">Tie the screen back to paper  </w:t>
      </w:r>
      <w:r>
        <w:rPr>
          <w:color w:val="3C4D66"/>
          <w:sz w:val="20"/>
        </w:rPr>
        <w:t>Sparx's bookwork checks — write the working by hand, the app spot-checks it — are the most credible answer anyone has to “the AI did it for me”. It is also their most disliked feature, so copy the idea and not the punishment.</w:t>
      </w:r>
    </w:p>
    <w:p>
      <w:pPr>
        <w:spacing w:after="160"/>
        <w:ind w:left="227"/>
      </w:pPr>
      <w:r>
        <w:rPr>
          <w:b/>
          <w:color w:val="14213D"/>
          <w:sz w:val="20"/>
        </w:rPr>
        <w:t xml:space="preserve">Make the daily habit the product  </w:t>
      </w:r>
      <w:r>
        <w:rPr>
          <w:color w:val="3C4D66"/>
          <w:sz w:val="20"/>
        </w:rPr>
        <w:t>Tassomai sells “little and often”: a small daily goal, not a content library. Habit is what a parent is actually buying.</w:t>
      </w:r>
    </w:p>
    <w:p>
      <w:pPr>
        <w:spacing w:after="160"/>
        <w:ind w:left="227"/>
      </w:pPr>
      <w:r>
        <w:rPr>
          <w:b/>
          <w:color w:val="14213D"/>
          <w:sz w:val="20"/>
        </w:rPr>
        <w:t xml:space="preserve">Consider a guarantee  </w:t>
      </w:r>
      <w:r>
        <w:rPr>
          <w:color w:val="3C4D66"/>
          <w:sz w:val="20"/>
        </w:rPr>
        <w:t>Seneca sells one as a £5.99 add-on and Up Learn builds its pitch on it. For a parent choosing between free-via-school and £9.99, a guarantee answers the question the price cannot.</w:t>
      </w:r>
    </w:p>
    <w:p>
      <w:pPr>
        <w:spacing w:before="360" w:after="80"/>
      </w:pPr>
      <w:r>
        <w:rPr>
          <w:b/>
          <w:color w:val="14213D"/>
          <w:sz w:val="28"/>
        </w:rPr>
        <w:t>Where Education Hub loses today</w:t>
      </w:r>
    </w:p>
    <w:p>
      <w:pPr>
        <w:spacing w:after="160"/>
        <w:ind w:left="227"/>
      </w:pPr>
      <w:r>
        <w:rPr>
          <w:b/>
          <w:color w:val="14213D"/>
          <w:sz w:val="20"/>
        </w:rPr>
        <w:t xml:space="preserve">Content depth is the blocker, not features  </w:t>
      </w:r>
      <w:r>
        <w:rPr>
          <w:color w:val="3C4D66"/>
          <w:sz w:val="20"/>
        </w:rPr>
        <w:t>46 of 714 worked examples and 320 of about 6,900 question slots are filled. Every competitor here ships a complete library. A parent who opens Year 8 Geography and finds it thin does not come back.</w:t>
      </w:r>
    </w:p>
    <w:p>
      <w:pPr>
        <w:spacing w:after="160"/>
        <w:ind w:left="227"/>
      </w:pPr>
      <w:r>
        <w:rPr>
          <w:b/>
          <w:color w:val="14213D"/>
          <w:sz w:val="20"/>
        </w:rPr>
        <w:t xml:space="preserve">Nobody has read the content  </w:t>
      </w:r>
      <w:r>
        <w:rPr>
          <w:color w:val="3C4D66"/>
          <w:sz w:val="20"/>
        </w:rPr>
        <w:t>2 of 576 stored rows are reviewed. Every competitor has an editorial process. This is the single largest difference in kind rather than degree, and the review tooling to close it already exists.</w:t>
      </w:r>
    </w:p>
    <w:p>
      <w:pPr>
        <w:spacing w:after="160"/>
        <w:ind w:left="227"/>
      </w:pPr>
      <w:r>
        <w:rPr>
          <w:b/>
          <w:color w:val="14213D"/>
          <w:sz w:val="20"/>
        </w:rPr>
        <w:t xml:space="preserve">Unit economics against £9.99  </w:t>
      </w:r>
      <w:r>
        <w:rPr>
          <w:color w:val="3C4D66"/>
          <w:sz w:val="20"/>
        </w:rPr>
        <w:t>Century's recommender costs nothing per question. Education Hub calls a model. One heavy user can exceed their own subscription, and there is no per-user cap.</w:t>
      </w:r>
    </w:p>
    <w:p>
      <w:pPr>
        <w:spacing w:after="160"/>
        <w:ind w:left="227"/>
      </w:pPr>
      <w:r>
        <w:rPr>
          <w:b/>
          <w:color w:val="14213D"/>
          <w:sz w:val="20"/>
        </w:rPr>
        <w:t xml:space="preserve">No distribution  </w:t>
      </w:r>
      <w:r>
        <w:rPr>
          <w:color w:val="3C4D66"/>
          <w:sz w:val="20"/>
        </w:rPr>
        <w:t>Sparx, Century and GCSEPod reach students through schools, which is also why they are free to parents. Direct-to-parent means paying to acquire every customer.</w:t>
      </w:r>
    </w:p>
    <w:p>
      <w:pPr>
        <w:spacing w:after="160"/>
        <w:ind w:left="227"/>
      </w:pPr>
      <w:r>
        <w:rPr>
          <w:b/>
          <w:color w:val="14213D"/>
          <w:sz w:val="20"/>
        </w:rPr>
        <w:t xml:space="preserve">Answer the free question  </w:t>
      </w:r>
      <w:r>
        <w:rPr>
          <w:color w:val="3C4D66"/>
          <w:sz w:val="20"/>
        </w:rPr>
        <w:t>The hardest objection is not a missing feature. It is “the school already gives us Sparx”. The honest answer today is that when a child is stuck at nine at night, Sparx says wrong and this explains why.</w:t>
      </w:r>
    </w:p>
    <w:p>
      <w:pPr>
        <w:spacing w:before="360" w:after="80"/>
      </w:pPr>
      <w:r>
        <w:rPr>
          <w:b/>
          <w:color w:val="14213D"/>
          <w:sz w:val="28"/>
        </w:rPr>
        <w:t>Sources</w:t>
      </w:r>
    </w:p>
    <w:p>
      <w:pPr>
        <w:spacing w:after="40"/>
        <w:ind w:left="227"/>
      </w:pPr>
      <w:r>
        <w:rPr>
          <w:color w:val="5B6D86"/>
          <w:sz w:val="17"/>
        </w:rPr>
        <w:t>•  Sparx, How does Sparx personalise homework? support.sparxmaths.com</w:t>
      </w:r>
    </w:p>
    <w:p>
      <w:pPr>
        <w:spacing w:after="40"/>
        <w:ind w:left="227"/>
      </w:pPr>
      <w:r>
        <w:rPr>
          <w:color w:val="5B6D86"/>
          <w:sz w:val="17"/>
        </w:rPr>
        <w:t>•  Sparx, Independent Learning. support.sparxmaths.com</w:t>
      </w:r>
    </w:p>
    <w:p>
      <w:pPr>
        <w:spacing w:after="40"/>
        <w:ind w:left="227"/>
      </w:pPr>
      <w:r>
        <w:rPr>
          <w:color w:val="5B6D86"/>
          <w:sz w:val="17"/>
        </w:rPr>
        <w:t>•  Century, Behind the scenes: inside Century's AI. century.tech</w:t>
      </w:r>
    </w:p>
    <w:p>
      <w:pPr>
        <w:spacing w:after="40"/>
        <w:ind w:left="227"/>
      </w:pPr>
      <w:r>
        <w:rPr>
          <w:color w:val="5B6D86"/>
          <w:sz w:val="17"/>
        </w:rPr>
        <w:t>•  UNESCO, Century: AI-powered teaching and learning platform. unesco.org</w:t>
      </w:r>
    </w:p>
    <w:p>
      <w:pPr>
        <w:spacing w:after="40"/>
        <w:ind w:left="227"/>
      </w:pPr>
      <w:r>
        <w:rPr>
          <w:color w:val="5B6D86"/>
          <w:sz w:val="17"/>
        </w:rPr>
        <w:t>•  Seneca, How much is Premium? help.senecalearning.com</w:t>
      </w:r>
    </w:p>
    <w:p>
      <w:pPr>
        <w:spacing w:after="40"/>
        <w:ind w:left="227"/>
      </w:pPr>
      <w:r>
        <w:rPr>
          <w:color w:val="5B6D86"/>
          <w:sz w:val="17"/>
        </w:rPr>
        <w:t>•  Atom Learning pricing. atomlearning.com</w:t>
      </w:r>
    </w:p>
    <w:p>
      <w:pPr>
        <w:spacing w:after="40"/>
        <w:ind w:left="227"/>
      </w:pPr>
      <w:r>
        <w:rPr>
          <w:color w:val="5B6D86"/>
          <w:sz w:val="17"/>
        </w:rPr>
        <w:t>•  Why Sparx Maths sparks frustration among students and parents. thinkingineducating.com</w:t>
      </w:r>
    </w:p>
    <w:p>
      <w:pPr>
        <w:spacing w:after="40"/>
        <w:ind w:left="227"/>
      </w:pPr>
      <w:r>
        <w:rPr>
          <w:color w:val="5B6D86"/>
          <w:sz w:val="17"/>
        </w:rPr>
        <w:t>•  Best GCSE revision apps and websites. lightbulblearning.co</w:t>
      </w:r>
    </w:p>
    <w:p>
      <w:pPr>
        <w:spacing w:before="240"/>
      </w:pPr>
      <w:r>
        <w:rPr>
          <w:i/>
          <w:color w:val="5B6D86"/>
          <w:sz w:val="17"/>
        </w:rPr>
        <w:t>The Education Hub column reflects the application as built: 210 topics with authored explanations, 46 of 714 worked examples, 320 of about 6,900 question slots, and 2 of 576 stored rows reviewed by a person. It has not been deployed.</w:t>
      </w:r>
    </w:p>
    <w:sectPr w:rsidR="00FC693F" w:rsidRPr="0006063C" w:rsidSect="00034616">
      <w:pgSz w:w="16838" w:h="11906" w:orient="landscape"/>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C4D6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