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p>
    <w:p>
      <w:pPr>
        <w:spacing w:after="80"/>
      </w:pPr>
      <w:r>
        <w:rPr>
          <w:rFonts w:ascii="Calibri" w:hAnsi="Calibri"/>
          <w:b/>
          <w:color w:val="2563EB"/>
          <w:sz w:val="21"/>
        </w:rPr>
        <w:t>ENTERPRISE TECHNICAL ARCHITECTURE &amp; SYSTEMS REPORT</w:t>
      </w:r>
    </w:p>
    <w:p>
      <w:pPr>
        <w:spacing w:after="120"/>
      </w:pPr>
      <w:r>
        <w:rPr>
          <w:rFonts w:ascii="Calibri" w:hAnsi="Calibri"/>
          <w:b/>
          <w:color w:val="0F172A"/>
          <w:sz w:val="52"/>
        </w:rPr>
        <w:t>AuraPass Dynamic Ticketing Platform</w:t>
      </w:r>
    </w:p>
    <w:p>
      <w:pPr>
        <w:spacing w:after="320"/>
      </w:pPr>
      <w:r>
        <w:rPr>
          <w:rFonts w:ascii="Calibri" w:hAnsi="Calibri"/>
          <w:color w:val="64748B"/>
          <w:sz w:val="24"/>
        </w:rPr>
        <w:t>Concurrency Serialization, Database Schema Architecture, Algorithmic Dynamic Pricing &amp; System Telemetry</w:t>
      </w:r>
    </w:p>
    <w:p>
      <w:pPr>
        <w:spacing w:after="280"/>
        <w:pBdr>
          <w:bottom w:val="single" w:sz="18" w:space="1" w:color="2563EB"/>
        </w:pBdr>
      </w:pP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3168"/>
            <w:shd w:fill="0F172A"/>
            <w:tcMar>
              <w:top w:w="70" w:type="dxa"/>
              <w:bottom w:w="70" w:type="dxa"/>
              <w:left w:w="90" w:type="dxa"/>
              <w:right w:w="90" w:type="dxa"/>
            </w:tcMar>
          </w:tcPr>
          <w:p>
            <w:pPr>
              <w:spacing w:before="0" w:after="0"/>
              <w:jc w:val="left"/>
            </w:pPr>
            <w:r>
              <w:rPr>
                <w:rFonts w:ascii="Calibri" w:hAnsi="Calibri"/>
                <w:b/>
                <w:color w:val="FFFFFF"/>
                <w:sz w:val="18"/>
              </w:rPr>
              <w:t>Engineering Dimension</w:t>
            </w:r>
          </w:p>
        </w:tc>
        <w:tc>
          <w:tcPr>
            <w:tcW w:type="dxa" w:w="6912"/>
            <w:shd w:fill="0F172A"/>
            <w:tcMar>
              <w:top w:w="70" w:type="dxa"/>
              <w:bottom w:w="70" w:type="dxa"/>
              <w:left w:w="90" w:type="dxa"/>
              <w:right w:w="90" w:type="dxa"/>
            </w:tcMar>
          </w:tcPr>
          <w:p>
            <w:pPr>
              <w:spacing w:before="0" w:after="0"/>
              <w:jc w:val="left"/>
            </w:pPr>
            <w:r>
              <w:rPr>
                <w:rFonts w:ascii="Calibri" w:hAnsi="Calibri"/>
                <w:b/>
                <w:color w:val="FFFFFF"/>
                <w:sz w:val="18"/>
              </w:rPr>
              <w:t>Specification / Architecture Standard</w:t>
            </w:r>
          </w:p>
        </w:tc>
      </w:tr>
      <w:tr>
        <w:tc>
          <w:tcPr>
            <w:tcW w:type="dxa" w:w="3168"/>
            <w:shd w:fill="FFFFFF"/>
            <w:tcMar>
              <w:top w:w="50" w:type="dxa"/>
              <w:bottom w:w="50" w:type="dxa"/>
              <w:left w:w="90" w:type="dxa"/>
              <w:right w:w="90" w:type="dxa"/>
            </w:tcMar>
          </w:tcPr>
          <w:p>
            <w:pPr>
              <w:spacing w:before="0" w:after="0"/>
              <w:jc w:val="left"/>
            </w:pPr>
            <w:r>
              <w:rPr>
                <w:rFonts w:ascii="Calibri" w:hAnsi="Calibri"/>
                <w:b/>
                <w:color w:val="334155"/>
                <w:sz w:val="17"/>
              </w:rPr>
              <w:t>Document Identification</w:t>
            </w:r>
          </w:p>
        </w:tc>
        <w:tc>
          <w:tcPr>
            <w:tcW w:type="dxa" w:w="6912"/>
            <w:shd w:fill="FFFFFF"/>
            <w:tcMar>
              <w:top w:w="50" w:type="dxa"/>
              <w:bottom w:w="50" w:type="dxa"/>
              <w:left w:w="90" w:type="dxa"/>
              <w:right w:w="90" w:type="dxa"/>
            </w:tcMar>
          </w:tcPr>
          <w:p>
            <w:pPr>
              <w:spacing w:before="0" w:after="0"/>
              <w:jc w:val="left"/>
            </w:pPr>
            <w:r>
              <w:rPr>
                <w:rFonts w:ascii="Calibri" w:hAnsi="Calibri"/>
                <w:color w:val="334155"/>
                <w:sz w:val="17"/>
              </w:rPr>
              <w:t>AuraPass Technical Architecture Specification v1.1.0-RC</w:t>
            </w:r>
          </w:p>
        </w:tc>
      </w:tr>
      <w:tr>
        <w:tc>
          <w:tcPr>
            <w:tcW w:type="dxa" w:w="3168"/>
            <w:shd w:fill="F8FAFC"/>
            <w:tcMar>
              <w:top w:w="50" w:type="dxa"/>
              <w:bottom w:w="50" w:type="dxa"/>
              <w:left w:w="90" w:type="dxa"/>
              <w:right w:w="90" w:type="dxa"/>
            </w:tcMar>
          </w:tcPr>
          <w:p>
            <w:pPr>
              <w:spacing w:before="0" w:after="0"/>
              <w:jc w:val="left"/>
            </w:pPr>
            <w:r>
              <w:rPr>
                <w:rFonts w:ascii="Calibri" w:hAnsi="Calibri"/>
                <w:b/>
                <w:color w:val="334155"/>
                <w:sz w:val="17"/>
              </w:rPr>
              <w:t>Architectural Topology</w:t>
            </w:r>
          </w:p>
        </w:tc>
        <w:tc>
          <w:tcPr>
            <w:tcW w:type="dxa" w:w="6912"/>
            <w:shd w:fill="F8FAFC"/>
            <w:tcMar>
              <w:top w:w="50" w:type="dxa"/>
              <w:bottom w:w="50" w:type="dxa"/>
              <w:left w:w="90" w:type="dxa"/>
              <w:right w:w="90" w:type="dxa"/>
            </w:tcMar>
          </w:tcPr>
          <w:p>
            <w:pPr>
              <w:spacing w:before="0" w:after="0"/>
              <w:jc w:val="left"/>
            </w:pPr>
            <w:r>
              <w:rPr>
                <w:rFonts w:ascii="Calibri" w:hAnsi="Calibri"/>
                <w:color w:val="334155"/>
                <w:sz w:val="17"/>
              </w:rPr>
              <w:t>High-Cohesion Layered Micro-Monolith (FastAPI ASGI + React 18 SPA)</w:t>
            </w:r>
          </w:p>
        </w:tc>
      </w:tr>
      <w:tr>
        <w:tc>
          <w:tcPr>
            <w:tcW w:type="dxa" w:w="3168"/>
            <w:shd w:fill="FFFFFF"/>
            <w:tcMar>
              <w:top w:w="50" w:type="dxa"/>
              <w:bottom w:w="50" w:type="dxa"/>
              <w:left w:w="90" w:type="dxa"/>
              <w:right w:w="90" w:type="dxa"/>
            </w:tcMar>
          </w:tcPr>
          <w:p>
            <w:pPr>
              <w:spacing w:before="0" w:after="0"/>
              <w:jc w:val="left"/>
            </w:pPr>
            <w:r>
              <w:rPr>
                <w:rFonts w:ascii="Calibri" w:hAnsi="Calibri"/>
                <w:b/>
                <w:color w:val="334155"/>
                <w:sz w:val="17"/>
              </w:rPr>
              <w:t>Concurrency &amp; ACID Model</w:t>
            </w:r>
          </w:p>
        </w:tc>
        <w:tc>
          <w:tcPr>
            <w:tcW w:type="dxa" w:w="6912"/>
            <w:shd w:fill="FFFFFF"/>
            <w:tcMar>
              <w:top w:w="50" w:type="dxa"/>
              <w:bottom w:w="50" w:type="dxa"/>
              <w:left w:w="90" w:type="dxa"/>
              <w:right w:w="90" w:type="dxa"/>
            </w:tcMar>
          </w:tcPr>
          <w:p>
            <w:pPr>
              <w:spacing w:before="0" w:after="0"/>
              <w:jc w:val="left"/>
            </w:pPr>
            <w:r>
              <w:rPr>
                <w:rFonts w:ascii="Calibri" w:hAnsi="Calibri"/>
                <w:color w:val="334155"/>
                <w:sz w:val="17"/>
              </w:rPr>
              <w:t>SQLite 3 Write-Ahead Logging (WAL) with Serialized Multi-User Pre-Purchase Collision Queries</w:t>
            </w:r>
          </w:p>
        </w:tc>
      </w:tr>
      <w:tr>
        <w:tc>
          <w:tcPr>
            <w:tcW w:type="dxa" w:w="3168"/>
            <w:shd w:fill="F8FAFC"/>
            <w:tcMar>
              <w:top w:w="50" w:type="dxa"/>
              <w:bottom w:w="50" w:type="dxa"/>
              <w:left w:w="90" w:type="dxa"/>
              <w:right w:w="90" w:type="dxa"/>
            </w:tcMar>
          </w:tcPr>
          <w:p>
            <w:pPr>
              <w:spacing w:before="0" w:after="0"/>
              <w:jc w:val="left"/>
            </w:pPr>
            <w:r>
              <w:rPr>
                <w:rFonts w:ascii="Calibri" w:hAnsi="Calibri"/>
                <w:b/>
                <w:color w:val="334155"/>
                <w:sz w:val="17"/>
              </w:rPr>
              <w:t>Algorithmic Pricing Engine</w:t>
            </w:r>
          </w:p>
        </w:tc>
        <w:tc>
          <w:tcPr>
            <w:tcW w:type="dxa" w:w="6912"/>
            <w:shd w:fill="F8FAFC"/>
            <w:tcMar>
              <w:top w:w="50" w:type="dxa"/>
              <w:bottom w:w="50" w:type="dxa"/>
              <w:left w:w="90" w:type="dxa"/>
              <w:right w:w="90" w:type="dxa"/>
            </w:tcMar>
          </w:tcPr>
          <w:p>
            <w:pPr>
              <w:spacing w:before="0" w:after="0"/>
              <w:jc w:val="left"/>
            </w:pPr>
            <w:r>
              <w:rPr>
                <w:rFonts w:ascii="Calibri" w:hAnsi="Calibri"/>
                <w:color w:val="334155"/>
                <w:sz w:val="17"/>
              </w:rPr>
              <w:t>Continuous Surge Curves (Capacity Milestones + Time Urgency) + Post-Host Organizer Pricing &amp; Offers</w:t>
            </w:r>
          </w:p>
        </w:tc>
      </w:tr>
      <w:tr>
        <w:tc>
          <w:tcPr>
            <w:tcW w:type="dxa" w:w="3168"/>
            <w:shd w:fill="FFFFFF"/>
            <w:tcMar>
              <w:top w:w="50" w:type="dxa"/>
              <w:bottom w:w="50" w:type="dxa"/>
              <w:left w:w="90" w:type="dxa"/>
              <w:right w:w="90" w:type="dxa"/>
            </w:tcMar>
          </w:tcPr>
          <w:p>
            <w:pPr>
              <w:spacing w:before="0" w:after="0"/>
              <w:jc w:val="left"/>
            </w:pPr>
            <w:r>
              <w:rPr>
                <w:rFonts w:ascii="Calibri" w:hAnsi="Calibri"/>
                <w:b/>
                <w:color w:val="334155"/>
                <w:sz w:val="17"/>
              </w:rPr>
              <w:t>Database Relational Model</w:t>
            </w:r>
          </w:p>
        </w:tc>
        <w:tc>
          <w:tcPr>
            <w:tcW w:type="dxa" w:w="6912"/>
            <w:shd w:fill="FFFFFF"/>
            <w:tcMar>
              <w:top w:w="50" w:type="dxa"/>
              <w:bottom w:w="50" w:type="dxa"/>
              <w:left w:w="90" w:type="dxa"/>
              <w:right w:w="90" w:type="dxa"/>
            </w:tcMar>
          </w:tcPr>
          <w:p>
            <w:pPr>
              <w:spacing w:before="0" w:after="0"/>
              <w:jc w:val="left"/>
            </w:pPr>
            <w:r>
              <w:rPr>
                <w:rFonts w:ascii="Calibri" w:hAnsi="Calibri"/>
                <w:color w:val="334155"/>
                <w:sz w:val="17"/>
              </w:rPr>
              <w:t>3 Normalized Relational Tables (users, events, sells) with PRAGMA foreign_keys = ON</w:t>
            </w:r>
          </w:p>
        </w:tc>
      </w:tr>
      <w:tr>
        <w:tc>
          <w:tcPr>
            <w:tcW w:type="dxa" w:w="3168"/>
            <w:shd w:fill="F8FAFC"/>
            <w:tcMar>
              <w:top w:w="50" w:type="dxa"/>
              <w:bottom w:w="50" w:type="dxa"/>
              <w:left w:w="90" w:type="dxa"/>
              <w:right w:w="90" w:type="dxa"/>
            </w:tcMar>
          </w:tcPr>
          <w:p>
            <w:pPr>
              <w:spacing w:before="0" w:after="0"/>
              <w:jc w:val="left"/>
            </w:pPr>
            <w:r>
              <w:rPr>
                <w:rFonts w:ascii="Calibri" w:hAnsi="Calibri"/>
                <w:b/>
                <w:color w:val="334155"/>
                <w:sz w:val="17"/>
              </w:rPr>
              <w:t>Identity &amp; Security Controls</w:t>
            </w:r>
          </w:p>
        </w:tc>
        <w:tc>
          <w:tcPr>
            <w:tcW w:type="dxa" w:w="6912"/>
            <w:shd w:fill="F8FAFC"/>
            <w:tcMar>
              <w:top w:w="50" w:type="dxa"/>
              <w:bottom w:w="50" w:type="dxa"/>
              <w:left w:w="90" w:type="dxa"/>
              <w:right w:w="90" w:type="dxa"/>
            </w:tcMar>
          </w:tcPr>
          <w:p>
            <w:pPr>
              <w:spacing w:before="0" w:after="0"/>
              <w:jc w:val="left"/>
            </w:pPr>
            <w:r>
              <w:rPr>
                <w:rFonts w:ascii="Calibri" w:hAnsi="Calibri"/>
                <w:color w:val="334155"/>
                <w:sz w:val="17"/>
              </w:rPr>
              <w:t>HTTP-Only SameSite JWT Cookies, 12-Round Bcrypt Salted Hashes, Strict RBAC Separation</w:t>
            </w:r>
          </w:p>
        </w:tc>
      </w:tr>
      <w:tr>
        <w:tc>
          <w:tcPr>
            <w:tcW w:type="dxa" w:w="3168"/>
            <w:shd w:fill="FFFFFF"/>
            <w:tcMar>
              <w:top w:w="50" w:type="dxa"/>
              <w:bottom w:w="50" w:type="dxa"/>
              <w:left w:w="90" w:type="dxa"/>
              <w:right w:w="90" w:type="dxa"/>
            </w:tcMar>
          </w:tcPr>
          <w:p>
            <w:pPr>
              <w:spacing w:before="0" w:after="0"/>
              <w:jc w:val="left"/>
            </w:pPr>
            <w:r>
              <w:rPr>
                <w:rFonts w:ascii="Calibri" w:hAnsi="Calibri"/>
                <w:b/>
                <w:color w:val="334155"/>
                <w:sz w:val="17"/>
              </w:rPr>
              <w:t>Administrative Telemetry</w:t>
            </w:r>
          </w:p>
        </w:tc>
        <w:tc>
          <w:tcPr>
            <w:tcW w:type="dxa" w:w="6912"/>
            <w:shd w:fill="FFFFFF"/>
            <w:tcMar>
              <w:top w:w="50" w:type="dxa"/>
              <w:bottom w:w="50" w:type="dxa"/>
              <w:left w:w="90" w:type="dxa"/>
              <w:right w:w="90" w:type="dxa"/>
            </w:tcMar>
          </w:tcPr>
          <w:p>
            <w:pPr>
              <w:spacing w:before="0" w:after="0"/>
              <w:jc w:val="left"/>
            </w:pPr>
            <w:r>
              <w:rPr>
                <w:rFonts w:ascii="Calibri" w:hAnsi="Calibri"/>
                <w:color w:val="334155"/>
                <w:sz w:val="17"/>
              </w:rPr>
              <w:t>Native Non-Invasive Hardware Telemetry Probes (CPU%, RAM, Disk Headroom, SQLite Microsecond Latency)</w:t>
            </w:r>
          </w:p>
        </w:tc>
      </w:tr>
    </w:tbl>
    <w:tbl>
      <w:tblPr>
        <w:tblW w:type="auto" w:w="0"/>
        <w:jc w:val="center"/>
        <w:tblLayout w:type="fixed"/>
        <w:tblLook w:firstColumn="1" w:firstRow="1" w:lastColumn="0" w:lastRow="0" w:noHBand="0" w:noVBand="1" w:val="04A0"/>
      </w:tblPr>
      <w:tblGrid>
        <w:gridCol w:w="10080"/>
      </w:tblGrid>
      <w:tr>
        <w:tc>
          <w:tcPr>
            <w:tcW w:type="dxa" w:w="10080"/>
            <w:shd w:fill="EFF6FF"/>
            <w:tcMar>
              <w:top w:w="100" w:type="dxa"/>
              <w:bottom w:w="100" w:type="dxa"/>
              <w:left w:w="150" w:type="dxa"/>
              <w:right w:w="140" w:type="dxa"/>
            </w:tcMar>
            <w:tcBorders>
              <w:left w:val="single" w:sz="24" w:space="0" w:color="2563EB"/>
              <w:top w:val="none"/>
              <w:right w:val="none"/>
              <w:bottom w:val="none"/>
            </w:tcBorders>
          </w:tcPr>
          <w:p>
            <w:pPr>
              <w:spacing w:before="20" w:after="40" w:line="264" w:lineRule="auto"/>
            </w:pPr>
            <w:r>
              <w:rPr>
                <w:rFonts w:ascii="Calibri" w:hAnsi="Calibri"/>
                <w:b/>
                <w:color w:val="2563EB"/>
                <w:sz w:val="19"/>
              </w:rPr>
              <w:t>📌 Executive Report Purpose &amp; Operational Bounds</w:t>
              <w:br/>
            </w:r>
            <w:r>
              <w:rPr>
                <w:rFonts w:ascii="Calibri" w:hAnsi="Calibri"/>
                <w:color w:val="334155"/>
                <w:sz w:val="17"/>
              </w:rPr>
              <w:t>This engineering specification provides a rigorous, condensed reference of the AuraPass platform across its core dimensions: concurrency serialization, error handling, relational database models, dynamic pricing formulation, and operational REST endpoints. Designed for rapid technical review and architectural governance.</w:t>
            </w:r>
          </w:p>
        </w:tc>
      </w:tr>
    </w:tbl>
    <w:p>
      <w:r>
        <w:br w:type="page"/>
      </w:r>
    </w:p>
    <w:p>
      <w:pPr>
        <w:keepNext/>
        <w:spacing w:before="160" w:after="60"/>
        <w:pBdr>
          <w:bottom w:val="single" w:sz="6" w:space="2" w:color="2563EB"/>
        </w:pBdr>
      </w:pPr>
      <w:r>
        <w:rPr>
          <w:rFonts w:ascii="Calibri" w:hAnsi="Calibri"/>
          <w:b/>
          <w:color w:val="0F172A"/>
          <w:sz w:val="28"/>
        </w:rPr>
        <w:t>1. Executive Summary &amp; System Architecture</w:t>
      </w:r>
    </w:p>
    <w:p>
      <w:pPr>
        <w:spacing w:before="0" w:after="60" w:line="269" w:lineRule="auto"/>
      </w:pPr>
      <w:r>
        <w:rPr>
          <w:rFonts w:ascii="Calibri" w:hAnsi="Calibri"/>
          <w:b/>
          <w:color w:val="0F172A"/>
          <w:sz w:val="19"/>
        </w:rPr>
        <w:t xml:space="preserve">Platform Overview: </w:t>
      </w:r>
      <w:r>
        <w:rPr>
          <w:rFonts w:ascii="Calibri" w:hAnsi="Calibri"/>
          <w:color w:val="334155"/>
          <w:sz w:val="18"/>
        </w:rPr>
        <w:t>The AuraPass platform is an enterprise-grade event management and ticket reservation system engineered to resolve core ticketing bottlenecks: distributed double-booking collisions, capacity overselling, and opaque pricing surges. By unifying an asynchronous Python ASGI backend with Write-Ahead Logging (WAL) transactions and mathematical dynamic pricing, AuraPass delivers zero double-booking tolerance with real-time organizer revenue optimization.</w:t>
      </w:r>
    </w:p>
    <w:p>
      <w:pPr>
        <w:keepNext/>
        <w:spacing w:before="120" w:after="40"/>
      </w:pPr>
      <w:r>
        <w:rPr>
          <w:rFonts w:ascii="Calibri" w:hAnsi="Calibri"/>
          <w:b/>
          <w:color w:val="1E40AF"/>
          <w:sz w:val="22"/>
        </w:rPr>
        <w:t>1.1 High-Level Technology Stack</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160"/>
            <w:shd w:fill="0F172A"/>
            <w:tcMar>
              <w:top w:w="70" w:type="dxa"/>
              <w:bottom w:w="70" w:type="dxa"/>
              <w:left w:w="90" w:type="dxa"/>
              <w:right w:w="90" w:type="dxa"/>
            </w:tcMar>
          </w:tcPr>
          <w:p>
            <w:pPr>
              <w:spacing w:before="0" w:after="0"/>
              <w:jc w:val="left"/>
            </w:pPr>
            <w:r>
              <w:rPr>
                <w:rFonts w:ascii="Calibri" w:hAnsi="Calibri"/>
                <w:b/>
                <w:color w:val="FFFFFF"/>
                <w:sz w:val="17"/>
              </w:rPr>
              <w:t>Layer</w:t>
            </w:r>
          </w:p>
        </w:tc>
        <w:tc>
          <w:tcPr>
            <w:tcW w:type="dxa" w:w="2592"/>
            <w:shd w:fill="0F172A"/>
            <w:tcMar>
              <w:top w:w="70" w:type="dxa"/>
              <w:bottom w:w="70" w:type="dxa"/>
              <w:left w:w="90" w:type="dxa"/>
              <w:right w:w="90" w:type="dxa"/>
            </w:tcMar>
          </w:tcPr>
          <w:p>
            <w:pPr>
              <w:spacing w:before="0" w:after="0"/>
              <w:jc w:val="left"/>
            </w:pPr>
            <w:r>
              <w:rPr>
                <w:rFonts w:ascii="Calibri" w:hAnsi="Calibri"/>
                <w:b/>
                <w:color w:val="FFFFFF"/>
                <w:sz w:val="17"/>
              </w:rPr>
              <w:t>Technology</w:t>
            </w:r>
          </w:p>
        </w:tc>
        <w:tc>
          <w:tcPr>
            <w:tcW w:type="dxa" w:w="5328"/>
            <w:shd w:fill="0F172A"/>
            <w:tcMar>
              <w:top w:w="70" w:type="dxa"/>
              <w:bottom w:w="70" w:type="dxa"/>
              <w:left w:w="90" w:type="dxa"/>
              <w:right w:w="90" w:type="dxa"/>
            </w:tcMar>
          </w:tcPr>
          <w:p>
            <w:pPr>
              <w:spacing w:before="0" w:after="0"/>
              <w:jc w:val="left"/>
            </w:pPr>
            <w:r>
              <w:rPr>
                <w:rFonts w:ascii="Calibri" w:hAnsi="Calibri"/>
                <w:b/>
                <w:color w:val="FFFFFF"/>
                <w:sz w:val="17"/>
              </w:rPr>
              <w:t>Primary Role &amp; Operational Characteristics</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6"/>
              </w:rPr>
              <w:t>Presentation</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React 18 SPA (Hooks, Babel)</w:t>
            </w:r>
          </w:p>
        </w:tc>
        <w:tc>
          <w:tcPr>
            <w:tcW w:type="dxa" w:w="5328"/>
            <w:shd w:fill="FFFFFF"/>
            <w:tcMar>
              <w:top w:w="50" w:type="dxa"/>
              <w:bottom w:w="50" w:type="dxa"/>
              <w:left w:w="90" w:type="dxa"/>
              <w:right w:w="90" w:type="dxa"/>
            </w:tcMar>
          </w:tcPr>
          <w:p>
            <w:pPr>
              <w:spacing w:before="0" w:after="0"/>
              <w:jc w:val="left"/>
            </w:pPr>
            <w:r>
              <w:rPr>
                <w:rFonts w:ascii="Calibri" w:hAnsi="Calibri"/>
                <w:color w:val="334155"/>
                <w:sz w:val="16"/>
              </w:rPr>
              <w:t>Apple VisionOS liquid glassmorphism, dynamic SVG seating maps, client cart state, zero build-step transpilation.</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6"/>
              </w:rPr>
              <w:t>Application Gateway</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FastAPI / Uvicorn (ASGI)</w:t>
            </w:r>
          </w:p>
        </w:tc>
        <w:tc>
          <w:tcPr>
            <w:tcW w:type="dxa" w:w="5328"/>
            <w:shd w:fill="F8FAFC"/>
            <w:tcMar>
              <w:top w:w="50" w:type="dxa"/>
              <w:bottom w:w="50" w:type="dxa"/>
              <w:left w:w="90" w:type="dxa"/>
              <w:right w:w="90" w:type="dxa"/>
            </w:tcMar>
          </w:tcPr>
          <w:p>
            <w:pPr>
              <w:spacing w:before="0" w:after="0"/>
              <w:jc w:val="left"/>
            </w:pPr>
            <w:r>
              <w:rPr>
                <w:rFonts w:ascii="Calibri" w:hAnsi="Calibri"/>
                <w:color w:val="334155"/>
                <w:sz w:val="16"/>
              </w:rPr>
              <w:t>Asynchronous request multiplexing, Pydantic v2 validation, JWT role-based security dependencies.</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6"/>
              </w:rPr>
              <w:t>Business Computation</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Python 3.11+ Core Logic</w:t>
            </w:r>
          </w:p>
        </w:tc>
        <w:tc>
          <w:tcPr>
            <w:tcW w:type="dxa" w:w="5328"/>
            <w:shd w:fill="FFFFFF"/>
            <w:tcMar>
              <w:top w:w="50" w:type="dxa"/>
              <w:bottom w:w="50" w:type="dxa"/>
              <w:left w:w="90" w:type="dxa"/>
              <w:right w:w="90" w:type="dxa"/>
            </w:tcMar>
          </w:tcPr>
          <w:p>
            <w:pPr>
              <w:spacing w:before="0" w:after="0"/>
              <w:jc w:val="left"/>
            </w:pPr>
            <w:r>
              <w:rPr>
                <w:rFonts w:ascii="Calibri" w:hAnsi="Calibri"/>
                <w:color w:val="334155"/>
                <w:sz w:val="16"/>
              </w:rPr>
              <w:t>Dynamic surge pricing engine, serialized collision checks, category ticket serializer (CN-, TH-, SP-).</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6"/>
              </w:rPr>
              <w:t>Persistence Engine</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SQLite 3 (WAL Mode)</w:t>
            </w:r>
          </w:p>
        </w:tc>
        <w:tc>
          <w:tcPr>
            <w:tcW w:type="dxa" w:w="5328"/>
            <w:shd w:fill="F8FAFC"/>
            <w:tcMar>
              <w:top w:w="50" w:type="dxa"/>
              <w:bottom w:w="50" w:type="dxa"/>
              <w:left w:w="90" w:type="dxa"/>
              <w:right w:w="90" w:type="dxa"/>
            </w:tcMar>
          </w:tcPr>
          <w:p>
            <w:pPr>
              <w:spacing w:before="0" w:after="0"/>
              <w:jc w:val="left"/>
            </w:pPr>
            <w:r>
              <w:rPr>
                <w:rFonts w:ascii="Calibri" w:hAnsi="Calibri"/>
                <w:color w:val="334155"/>
                <w:sz w:val="16"/>
              </w:rPr>
              <w:t>Write-Ahead Logging ACID transactions, foreign key cascading, sub-millisecond query execution.</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6"/>
              </w:rPr>
              <w:t>System Telemetry</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psutil &amp; perf_counter</w:t>
            </w:r>
          </w:p>
        </w:tc>
        <w:tc>
          <w:tcPr>
            <w:tcW w:type="dxa" w:w="5328"/>
            <w:shd w:fill="FFFFFF"/>
            <w:tcMar>
              <w:top w:w="50" w:type="dxa"/>
              <w:bottom w:w="50" w:type="dxa"/>
              <w:left w:w="90" w:type="dxa"/>
              <w:right w:w="90" w:type="dxa"/>
            </w:tcMar>
          </w:tcPr>
          <w:p>
            <w:pPr>
              <w:spacing w:before="0" w:after="0"/>
              <w:jc w:val="left"/>
            </w:pPr>
            <w:r>
              <w:rPr>
                <w:rFonts w:ascii="Calibri" w:hAnsi="Calibri"/>
                <w:color w:val="334155"/>
                <w:sz w:val="16"/>
              </w:rPr>
              <w:t>Native hardware probes for CPU%, RAM RSS, disk headroom, and microsecond database ping latency.</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6"/>
              </w:rPr>
              <w:t>Security &amp; Auth</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Bcrypt + PyJWT (HTTP-Only)</w:t>
            </w:r>
          </w:p>
        </w:tc>
        <w:tc>
          <w:tcPr>
            <w:tcW w:type="dxa" w:w="5328"/>
            <w:shd w:fill="F8FAFC"/>
            <w:tcMar>
              <w:top w:w="50" w:type="dxa"/>
              <w:bottom w:w="50" w:type="dxa"/>
              <w:left w:w="90" w:type="dxa"/>
              <w:right w:w="90" w:type="dxa"/>
            </w:tcMar>
          </w:tcPr>
          <w:p>
            <w:pPr>
              <w:spacing w:before="0" w:after="0"/>
              <w:jc w:val="left"/>
            </w:pPr>
            <w:r>
              <w:rPr>
                <w:rFonts w:ascii="Calibri" w:hAnsi="Calibri"/>
                <w:color w:val="334155"/>
                <w:sz w:val="16"/>
              </w:rPr>
              <w:t>Cryptographic salted hashing, secure cookie transport, role authorization (buyer, organizer, admin).</w:t>
            </w:r>
          </w:p>
        </w:tc>
      </w:tr>
    </w:tbl>
    <w:p>
      <w:pPr>
        <w:keepNext/>
        <w:spacing w:before="120" w:after="40"/>
      </w:pPr>
      <w:r>
        <w:rPr>
          <w:rFonts w:ascii="Calibri" w:hAnsi="Calibri"/>
          <w:b/>
          <w:color w:val="1E40AF"/>
          <w:sz w:val="22"/>
        </w:rPr>
        <w:t>1.2 Layered Micro-Monolith Topology</w:t>
      </w:r>
    </w:p>
    <w:p>
      <w:pPr>
        <w:spacing w:before="80" w:after="20"/>
        <w:jc w:val="center"/>
      </w:pPr>
      <w:r>
        <w:drawing>
          <wp:inline xmlns:a="http://schemas.openxmlformats.org/drawingml/2006/main" xmlns:pic="http://schemas.openxmlformats.org/drawingml/2006/picture">
            <wp:extent cx="4572000" cy="284309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4572000" cy="2843092"/>
                    </a:xfrm>
                    <a:prstGeom prst="rect"/>
                  </pic:spPr>
                </pic:pic>
              </a:graphicData>
            </a:graphic>
          </wp:inline>
        </w:drawing>
      </w:r>
    </w:p>
    <w:p>
      <w:pPr>
        <w:spacing w:before="20" w:after="80"/>
        <w:jc w:val="center"/>
      </w:pPr>
      <w:r>
        <w:rPr>
          <w:rFonts w:ascii="Calibri" w:hAnsi="Calibri"/>
          <w:b/>
          <w:color w:val="2563EB"/>
          <w:sz w:val="17"/>
        </w:rPr>
        <w:t xml:space="preserve">Figure 1: </w:t>
      </w:r>
      <w:r>
        <w:rPr>
          <w:rFonts w:ascii="Calibri" w:hAnsi="Calibri"/>
          <w:i/>
          <w:color w:val="64748B"/>
          <w:sz w:val="17"/>
        </w:rPr>
        <w:t>AuraPass Layered Micro-Monolith Topology: Presentation, Gateway, Computational Logic &amp; Persistence</w:t>
      </w:r>
    </w:p>
    <w:p>
      <w:r>
        <w:br w:type="page"/>
      </w:r>
    </w:p>
    <w:p>
      <w:pPr>
        <w:keepNext/>
        <w:spacing w:before="160" w:after="60"/>
        <w:pBdr>
          <w:bottom w:val="single" w:sz="6" w:space="2" w:color="2563EB"/>
        </w:pBdr>
      </w:pPr>
      <w:r>
        <w:rPr>
          <w:rFonts w:ascii="Calibri" w:hAnsi="Calibri"/>
          <w:b/>
          <w:color w:val="0F172A"/>
          <w:sz w:val="28"/>
        </w:rPr>
        <w:t>2. Concurrency Control &amp; Race Condition Prevention</w:t>
      </w:r>
    </w:p>
    <w:p>
      <w:pPr>
        <w:spacing w:before="0" w:after="60" w:line="269" w:lineRule="auto"/>
      </w:pPr>
      <w:r>
        <w:rPr>
          <w:rFonts w:ascii="Calibri" w:hAnsi="Calibri"/>
          <w:b/>
          <w:color w:val="0F172A"/>
          <w:sz w:val="19"/>
        </w:rPr>
        <w:t xml:space="preserve">The Concurrency Challenge: </w:t>
      </w:r>
      <w:r>
        <w:rPr>
          <w:rFonts w:ascii="Calibri" w:hAnsi="Calibri"/>
          <w:color w:val="334155"/>
          <w:sz w:val="18"/>
        </w:rPr>
        <w:t>In high-traffic ticketing environments, simultaneous reservation attempts on identical seats create race conditions. AuraPass eliminates double-booking through a 5-stage serialization protocol inside the checkout transaction (/api/tickets/buy):</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1152"/>
            <w:shd w:fill="0F172A"/>
            <w:tcMar>
              <w:top w:w="70" w:type="dxa"/>
              <w:bottom w:w="70" w:type="dxa"/>
              <w:left w:w="90" w:type="dxa"/>
              <w:right w:w="90" w:type="dxa"/>
            </w:tcMar>
          </w:tcPr>
          <w:p>
            <w:pPr>
              <w:spacing w:before="0" w:after="0"/>
              <w:jc w:val="left"/>
            </w:pPr>
            <w:r>
              <w:rPr>
                <w:rFonts w:ascii="Calibri" w:hAnsi="Calibri"/>
                <w:b/>
                <w:color w:val="FFFFFF"/>
                <w:sz w:val="17"/>
              </w:rPr>
              <w:t>Stage</w:t>
            </w:r>
          </w:p>
        </w:tc>
        <w:tc>
          <w:tcPr>
            <w:tcW w:type="dxa" w:w="2592"/>
            <w:shd w:fill="0F172A"/>
            <w:tcMar>
              <w:top w:w="70" w:type="dxa"/>
              <w:bottom w:w="70" w:type="dxa"/>
              <w:left w:w="90" w:type="dxa"/>
              <w:right w:w="90" w:type="dxa"/>
            </w:tcMar>
          </w:tcPr>
          <w:p>
            <w:pPr>
              <w:spacing w:before="0" w:after="0"/>
              <w:jc w:val="left"/>
            </w:pPr>
            <w:r>
              <w:rPr>
                <w:rFonts w:ascii="Calibri" w:hAnsi="Calibri"/>
                <w:b/>
                <w:color w:val="FFFFFF"/>
                <w:sz w:val="17"/>
              </w:rPr>
              <w:t>Phase Name</w:t>
            </w:r>
          </w:p>
        </w:tc>
        <w:tc>
          <w:tcPr>
            <w:tcW w:type="dxa" w:w="6336"/>
            <w:shd w:fill="0F172A"/>
            <w:tcMar>
              <w:top w:w="70" w:type="dxa"/>
              <w:bottom w:w="70" w:type="dxa"/>
              <w:left w:w="90" w:type="dxa"/>
              <w:right w:w="90" w:type="dxa"/>
            </w:tcMar>
          </w:tcPr>
          <w:p>
            <w:pPr>
              <w:spacing w:before="0" w:after="0"/>
              <w:jc w:val="left"/>
            </w:pPr>
            <w:r>
              <w:rPr>
                <w:rFonts w:ascii="Calibri" w:hAnsi="Calibri"/>
                <w:b/>
                <w:color w:val="FFFFFF"/>
                <w:sz w:val="17"/>
              </w:rPr>
              <w:t>Transactional Guard &amp; Engine Execution</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6"/>
              </w:rPr>
              <w:t>Stage 1</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Connection Init</w:t>
            </w:r>
          </w:p>
        </w:tc>
        <w:tc>
          <w:tcPr>
            <w:tcW w:type="dxa" w:w="6336"/>
            <w:shd w:fill="FFFFFF"/>
            <w:tcMar>
              <w:top w:w="50" w:type="dxa"/>
              <w:bottom w:w="50" w:type="dxa"/>
              <w:left w:w="90" w:type="dxa"/>
              <w:right w:w="90" w:type="dxa"/>
            </w:tcMar>
          </w:tcPr>
          <w:p>
            <w:pPr>
              <w:spacing w:before="0" w:after="0"/>
              <w:jc w:val="left"/>
            </w:pPr>
            <w:r>
              <w:rPr>
                <w:rFonts w:ascii="Calibri" w:hAnsi="Calibri"/>
                <w:color w:val="334155"/>
                <w:sz w:val="16"/>
              </w:rPr>
              <w:t>Dedicated SQLite connection initialized with foreign keys enforced (PRAGMA foreign_keys = ON).</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6"/>
              </w:rPr>
              <w:t>Stage 2</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Write Lock Acquisition</w:t>
            </w:r>
          </w:p>
        </w:tc>
        <w:tc>
          <w:tcPr>
            <w:tcW w:type="dxa" w:w="6336"/>
            <w:shd w:fill="F8FAFC"/>
            <w:tcMar>
              <w:top w:w="50" w:type="dxa"/>
              <w:bottom w:w="50" w:type="dxa"/>
              <w:left w:w="90" w:type="dxa"/>
              <w:right w:w="90" w:type="dxa"/>
            </w:tcMar>
          </w:tcPr>
          <w:p>
            <w:pPr>
              <w:spacing w:before="0" w:after="0"/>
              <w:jc w:val="left"/>
            </w:pPr>
            <w:r>
              <w:rPr>
                <w:rFonts w:ascii="Calibri" w:hAnsi="Calibri"/>
                <w:color w:val="334155"/>
                <w:sz w:val="16"/>
              </w:rPr>
              <w:t>SQLite assigns a RESERVED write lock to the first buyer (Buyer A) upon write; Buyer B's write is serialized.</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6"/>
              </w:rPr>
              <w:t>Stage 3</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Pre-Purchase Collision Query</w:t>
            </w:r>
          </w:p>
        </w:tc>
        <w:tc>
          <w:tcPr>
            <w:tcW w:type="dxa" w:w="6336"/>
            <w:shd w:fill="FFFFFF"/>
            <w:tcMar>
              <w:top w:w="50" w:type="dxa"/>
              <w:bottom w:w="50" w:type="dxa"/>
              <w:left w:w="90" w:type="dxa"/>
              <w:right w:w="90" w:type="dxa"/>
            </w:tcMar>
          </w:tcPr>
          <w:p>
            <w:pPr>
              <w:spacing w:before="0" w:after="0"/>
              <w:jc w:val="left"/>
            </w:pPr>
            <w:r>
              <w:rPr>
                <w:rFonts w:ascii="Calibri" w:hAnsi="Calibri"/>
                <w:color w:val="334155"/>
                <w:sz w:val="16"/>
              </w:rPr>
              <w:t>Executes atomic query: SELECT position_of_seat FROM sells WHERE event_id=? AND position_of_seat IN (?)</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6"/>
              </w:rPr>
              <w:t>Stage 4</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Commitment &amp; Ticket Minting</w:t>
            </w:r>
          </w:p>
        </w:tc>
        <w:tc>
          <w:tcPr>
            <w:tcW w:type="dxa" w:w="6336"/>
            <w:shd w:fill="F8FAFC"/>
            <w:tcMar>
              <w:top w:w="50" w:type="dxa"/>
              <w:bottom w:w="50" w:type="dxa"/>
              <w:left w:w="90" w:type="dxa"/>
              <w:right w:w="90" w:type="dxa"/>
            </w:tcMar>
          </w:tcPr>
          <w:p>
            <w:pPr>
              <w:spacing w:before="0" w:after="0"/>
              <w:jc w:val="left"/>
            </w:pPr>
            <w:r>
              <w:rPr>
                <w:rFonts w:ascii="Calibri" w:hAnsi="Calibri"/>
                <w:color w:val="334155"/>
                <w:sz w:val="16"/>
              </w:rPr>
              <w:t>Buyer A passes collision check; writes to sells, generates unique ticket serial, increments sold_tickets, commits WAL.</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6"/>
              </w:rPr>
              <w:t>Stage 5</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Conflict Rejection &amp; Rollback</w:t>
            </w:r>
          </w:p>
        </w:tc>
        <w:tc>
          <w:tcPr>
            <w:tcW w:type="dxa" w:w="6336"/>
            <w:shd w:fill="FFFFFF"/>
            <w:tcMar>
              <w:top w:w="50" w:type="dxa"/>
              <w:bottom w:w="50" w:type="dxa"/>
              <w:left w:w="90" w:type="dxa"/>
              <w:right w:w="90" w:type="dxa"/>
            </w:tcMar>
          </w:tcPr>
          <w:p>
            <w:pPr>
              <w:spacing w:before="0" w:after="0"/>
              <w:jc w:val="left"/>
            </w:pPr>
            <w:r>
              <w:rPr>
                <w:rFonts w:ascii="Calibri" w:hAnsi="Calibri"/>
                <w:color w:val="334155"/>
                <w:sz w:val="16"/>
              </w:rPr>
              <w:t>Buyer B's query executes immediately after commit, detects taken seat, executes rollback, raises HTTP 409 Conflict.</w:t>
            </w:r>
          </w:p>
        </w:tc>
      </w:tr>
    </w:tbl>
    <w:p>
      <w:pPr>
        <w:spacing w:before="80" w:after="20"/>
        <w:jc w:val="center"/>
      </w:pPr>
      <w:r>
        <w:drawing>
          <wp:inline xmlns:a="http://schemas.openxmlformats.org/drawingml/2006/main" xmlns:pic="http://schemas.openxmlformats.org/drawingml/2006/picture">
            <wp:extent cx="4297680" cy="2853082"/>
            <wp:docPr id="2" name="Picture 2"/>
            <wp:cNvGraphicFramePr>
              <a:graphicFrameLocks noChangeAspect="1"/>
            </wp:cNvGraphicFramePr>
            <a:graphic>
              <a:graphicData uri="http://schemas.openxmlformats.org/drawingml/2006/picture">
                <pic:pic>
                  <pic:nvPicPr>
                    <pic:cNvPr id="0" name="fig2_concurrency_race_condition.png"/>
                    <pic:cNvPicPr/>
                  </pic:nvPicPr>
                  <pic:blipFill>
                    <a:blip r:embed="rId12"/>
                    <a:stretch>
                      <a:fillRect/>
                    </a:stretch>
                  </pic:blipFill>
                  <pic:spPr>
                    <a:xfrm>
                      <a:off x="0" y="0"/>
                      <a:ext cx="4297680" cy="2853082"/>
                    </a:xfrm>
                    <a:prstGeom prst="rect"/>
                  </pic:spPr>
                </pic:pic>
              </a:graphicData>
            </a:graphic>
          </wp:inline>
        </w:drawing>
      </w:r>
    </w:p>
    <w:p>
      <w:pPr>
        <w:spacing w:before="20" w:after="80"/>
        <w:jc w:val="center"/>
      </w:pPr>
      <w:r>
        <w:rPr>
          <w:rFonts w:ascii="Calibri" w:hAnsi="Calibri"/>
          <w:b/>
          <w:color w:val="2563EB"/>
          <w:sz w:val="17"/>
        </w:rPr>
        <w:t xml:space="preserve">Figure 2: </w:t>
      </w:r>
      <w:r>
        <w:rPr>
          <w:rFonts w:ascii="Calibri" w:hAnsi="Calibri"/>
          <w:i/>
          <w:color w:val="64748B"/>
          <w:sz w:val="17"/>
        </w:rPr>
        <w:t>Simultaneous Seat Booking Race Condition Resolution: Atomic Serialization Sequence Diagram</w:t>
      </w:r>
    </w:p>
    <w:tbl>
      <w:tblPr>
        <w:tblW w:type="auto" w:w="0"/>
        <w:jc w:val="center"/>
        <w:tblLayout w:type="fixed"/>
        <w:tblLook w:firstColumn="1" w:firstRow="1" w:lastColumn="0" w:lastRow="0" w:noHBand="0" w:noVBand="1" w:val="04A0"/>
      </w:tblPr>
      <w:tblGrid>
        <w:gridCol w:w="10080"/>
      </w:tblGrid>
      <w:tr>
        <w:tc>
          <w:tcPr>
            <w:tcW w:type="dxa" w:w="10080"/>
            <w:shd w:fill="FFFBEB"/>
            <w:tcMar>
              <w:top w:w="100" w:type="dxa"/>
              <w:bottom w:w="100" w:type="dxa"/>
              <w:left w:w="150" w:type="dxa"/>
              <w:right w:w="140" w:type="dxa"/>
            </w:tcMar>
            <w:tcBorders>
              <w:left w:val="single" w:sz="24" w:space="0" w:color="D97706"/>
              <w:top w:val="none"/>
              <w:right w:val="none"/>
              <w:bottom w:val="none"/>
            </w:tcBorders>
          </w:tcPr>
          <w:p>
            <w:pPr>
              <w:spacing w:before="20" w:after="40" w:line="264" w:lineRule="auto"/>
            </w:pPr>
            <w:r>
              <w:rPr>
                <w:rFonts w:ascii="Calibri" w:hAnsi="Calibri"/>
                <w:b/>
                <w:color w:val="D97706"/>
                <w:sz w:val="19"/>
              </w:rPr>
              <w:t>📌 Client-Side Reactive Self-Healing</w:t>
              <w:br/>
            </w:r>
            <w:r>
              <w:rPr>
                <w:rFonts w:ascii="Calibri" w:hAnsi="Calibri"/>
                <w:color w:val="334155"/>
                <w:sz w:val="17"/>
              </w:rPr>
              <w:t>Upon receiving an HTTP 409 Conflict, the React client automatically alerts the attendee via an amber glass notification, deselects the contested seat, and re-queries GET /api/events/{id}/seats to reflect the occupied seat in crimson frosted glass without session disruption.</w:t>
            </w:r>
          </w:p>
        </w:tc>
      </w:tr>
    </w:tbl>
    <w:p>
      <w:r>
        <w:br w:type="page"/>
      </w:r>
    </w:p>
    <w:p>
      <w:pPr>
        <w:keepNext/>
        <w:spacing w:before="160" w:after="60"/>
        <w:pBdr>
          <w:bottom w:val="single" w:sz="6" w:space="2" w:color="2563EB"/>
        </w:pBdr>
      </w:pPr>
      <w:r>
        <w:rPr>
          <w:rFonts w:ascii="Calibri" w:hAnsi="Calibri"/>
          <w:b/>
          <w:color w:val="0F172A"/>
          <w:sz w:val="28"/>
        </w:rPr>
        <w:t>3. Resilience, Durability &amp; Error Handling Matrix</w:t>
      </w:r>
    </w:p>
    <w:p>
      <w:pPr>
        <w:spacing w:before="0" w:after="60" w:line="269" w:lineRule="auto"/>
      </w:pPr>
      <w:r>
        <w:rPr>
          <w:rFonts w:ascii="Calibri" w:hAnsi="Calibri"/>
          <w:b/>
          <w:color w:val="0F172A"/>
          <w:sz w:val="19"/>
        </w:rPr>
        <w:t xml:space="preserve">ACID Guarantees &amp; Inventory Guards: </w:t>
      </w:r>
      <w:r>
        <w:rPr>
          <w:rFonts w:ascii="Calibri" w:hAnsi="Calibri"/>
          <w:color w:val="334155"/>
          <w:sz w:val="18"/>
        </w:rPr>
        <w:t>AuraPass ensures complete data integrity and crash durability through SQLite Write-Ahead Logging (WAL). All state modifications (checking availability, inserting into sells, incrementing sold_tickets) occur within an isolated transaction. In the event of an abrupt process crash or host power interruption, uncommitted frames are automatically discarded during recovery checkpointing. Two-tier inventory validation guards against capacity overselling (Client UI limit vs Server backend validation: requested_count &gt; capacity - sold_tickets).</w:t>
      </w:r>
    </w:p>
    <w:p>
      <w:pPr>
        <w:keepNext/>
        <w:spacing w:before="120" w:after="40"/>
      </w:pPr>
      <w:r>
        <w:rPr>
          <w:rFonts w:ascii="Calibri" w:hAnsi="Calibri"/>
          <w:b/>
          <w:color w:val="1E40AF"/>
          <w:sz w:val="22"/>
        </w:rPr>
        <w:t>3.1 Core System Error Handling Matrix</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2160"/>
            <w:shd w:fill="0F172A"/>
            <w:tcMar>
              <w:top w:w="70" w:type="dxa"/>
              <w:bottom w:w="70" w:type="dxa"/>
              <w:left w:w="90" w:type="dxa"/>
              <w:right w:w="90" w:type="dxa"/>
            </w:tcMar>
          </w:tcPr>
          <w:p>
            <w:pPr>
              <w:spacing w:before="0" w:after="0"/>
              <w:jc w:val="left"/>
            </w:pPr>
            <w:r>
              <w:rPr>
                <w:rFonts w:ascii="Calibri" w:hAnsi="Calibri"/>
                <w:b/>
                <w:color w:val="FFFFFF"/>
                <w:sz w:val="16"/>
              </w:rPr>
              <w:t>Scenario</w:t>
            </w:r>
          </w:p>
        </w:tc>
        <w:tc>
          <w:tcPr>
            <w:tcW w:type="dxa" w:w="864"/>
            <w:shd w:fill="0F172A"/>
            <w:tcMar>
              <w:top w:w="70" w:type="dxa"/>
              <w:bottom w:w="70" w:type="dxa"/>
              <w:left w:w="90" w:type="dxa"/>
              <w:right w:w="90" w:type="dxa"/>
            </w:tcMar>
          </w:tcPr>
          <w:p>
            <w:pPr>
              <w:spacing w:before="0" w:after="0"/>
              <w:jc w:val="left"/>
            </w:pPr>
            <w:r>
              <w:rPr>
                <w:rFonts w:ascii="Calibri" w:hAnsi="Calibri"/>
                <w:b/>
                <w:color w:val="FFFFFF"/>
                <w:sz w:val="16"/>
              </w:rPr>
              <w:t>HTTP</w:t>
            </w:r>
          </w:p>
        </w:tc>
        <w:tc>
          <w:tcPr>
            <w:tcW w:type="dxa" w:w="2304"/>
            <w:shd w:fill="0F172A"/>
            <w:tcMar>
              <w:top w:w="70" w:type="dxa"/>
              <w:bottom w:w="70" w:type="dxa"/>
              <w:left w:w="90" w:type="dxa"/>
              <w:right w:w="90" w:type="dxa"/>
            </w:tcMar>
          </w:tcPr>
          <w:p>
            <w:pPr>
              <w:spacing w:before="0" w:after="0"/>
              <w:jc w:val="left"/>
            </w:pPr>
            <w:r>
              <w:rPr>
                <w:rFonts w:ascii="Calibri" w:hAnsi="Calibri"/>
                <w:b/>
                <w:color w:val="FFFFFF"/>
                <w:sz w:val="16"/>
              </w:rPr>
              <w:t>Trigger Condition</w:t>
            </w:r>
          </w:p>
        </w:tc>
        <w:tc>
          <w:tcPr>
            <w:tcW w:type="dxa" w:w="2160"/>
            <w:shd w:fill="0F172A"/>
            <w:tcMar>
              <w:top w:w="70" w:type="dxa"/>
              <w:bottom w:w="70" w:type="dxa"/>
              <w:left w:w="90" w:type="dxa"/>
              <w:right w:w="90" w:type="dxa"/>
            </w:tcMar>
          </w:tcPr>
          <w:p>
            <w:pPr>
              <w:spacing w:before="0" w:after="0"/>
              <w:jc w:val="left"/>
            </w:pPr>
            <w:r>
              <w:rPr>
                <w:rFonts w:ascii="Calibri" w:hAnsi="Calibri"/>
                <w:b/>
                <w:color w:val="FFFFFF"/>
                <w:sz w:val="16"/>
              </w:rPr>
              <w:t>Transactional Action</w:t>
            </w:r>
          </w:p>
        </w:tc>
        <w:tc>
          <w:tcPr>
            <w:tcW w:type="dxa" w:w="2592"/>
            <w:shd w:fill="0F172A"/>
            <w:tcMar>
              <w:top w:w="70" w:type="dxa"/>
              <w:bottom w:w="70" w:type="dxa"/>
              <w:left w:w="90" w:type="dxa"/>
              <w:right w:w="90" w:type="dxa"/>
            </w:tcMar>
          </w:tcPr>
          <w:p>
            <w:pPr>
              <w:spacing w:before="0" w:after="0"/>
              <w:jc w:val="left"/>
            </w:pPr>
            <w:r>
              <w:rPr>
                <w:rFonts w:ascii="Calibri" w:hAnsi="Calibri"/>
                <w:b/>
                <w:color w:val="FFFFFF"/>
                <w:sz w:val="16"/>
              </w:rPr>
              <w:t>User Interface Impact</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Simultaneous Seat Collision</w:t>
            </w:r>
          </w:p>
        </w:tc>
        <w:tc>
          <w:tcPr>
            <w:tcW w:type="dxa" w:w="864"/>
            <w:shd w:fill="FFFFFF"/>
            <w:tcMar>
              <w:top w:w="50" w:type="dxa"/>
              <w:bottom w:w="50" w:type="dxa"/>
              <w:left w:w="90" w:type="dxa"/>
              <w:right w:w="90" w:type="dxa"/>
            </w:tcMar>
          </w:tcPr>
          <w:p>
            <w:pPr>
              <w:spacing w:before="0" w:after="0"/>
              <w:jc w:val="left"/>
            </w:pPr>
            <w:r>
              <w:rPr>
                <w:rFonts w:ascii="Calibri" w:hAnsi="Calibri"/>
                <w:color w:val="334155"/>
                <w:sz w:val="15"/>
              </w:rPr>
              <w:t>409</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Seat coordinate in 'sells'</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conn.rollback(); zero rows modified</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5"/>
              </w:rPr>
              <w:t>Amber toast; contested seat deselected; seat turns red</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5"/>
              </w:rPr>
              <w:t>Capacity Oversell Attempt</w:t>
            </w:r>
          </w:p>
        </w:tc>
        <w:tc>
          <w:tcPr>
            <w:tcW w:type="dxa" w:w="864"/>
            <w:shd w:fill="F8FAFC"/>
            <w:tcMar>
              <w:top w:w="50" w:type="dxa"/>
              <w:bottom w:w="50" w:type="dxa"/>
              <w:left w:w="90" w:type="dxa"/>
              <w:right w:w="90" w:type="dxa"/>
            </w:tcMar>
          </w:tcPr>
          <w:p>
            <w:pPr>
              <w:spacing w:before="0" w:after="0"/>
              <w:jc w:val="left"/>
            </w:pPr>
            <w:r>
              <w:rPr>
                <w:rFonts w:ascii="Calibri" w:hAnsi="Calibri"/>
                <w:color w:val="334155"/>
                <w:sz w:val="15"/>
              </w:rPr>
              <w:t>400</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5"/>
              </w:rPr>
              <w:t>requested_count &gt; available</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Transaction rejected prior to insert</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5"/>
              </w:rPr>
              <w:t>Error modal: 'Only X tickets remaining. Cannot purchase Y.'</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Non-Existent Event Booking</w:t>
            </w:r>
          </w:p>
        </w:tc>
        <w:tc>
          <w:tcPr>
            <w:tcW w:type="dxa" w:w="864"/>
            <w:shd w:fill="FFFFFF"/>
            <w:tcMar>
              <w:top w:w="50" w:type="dxa"/>
              <w:bottom w:w="50" w:type="dxa"/>
              <w:left w:w="90" w:type="dxa"/>
              <w:right w:w="90" w:type="dxa"/>
            </w:tcMar>
          </w:tcPr>
          <w:p>
            <w:pPr>
              <w:spacing w:before="0" w:after="0"/>
              <w:jc w:val="left"/>
            </w:pPr>
            <w:r>
              <w:rPr>
                <w:rFonts w:ascii="Calibri" w:hAnsi="Calibri"/>
                <w:color w:val="334155"/>
                <w:sz w:val="15"/>
              </w:rPr>
              <w:t>404</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event_id not found in 'events'</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Connection closed; query aborted</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5"/>
              </w:rPr>
              <w:t>404 error display; redirect prompt to marketplace catalog</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5"/>
              </w:rPr>
              <w:t>Inactive / Cancelled Event</w:t>
            </w:r>
          </w:p>
        </w:tc>
        <w:tc>
          <w:tcPr>
            <w:tcW w:type="dxa" w:w="864"/>
            <w:shd w:fill="F8FAFC"/>
            <w:tcMar>
              <w:top w:w="50" w:type="dxa"/>
              <w:bottom w:w="50" w:type="dxa"/>
              <w:left w:w="90" w:type="dxa"/>
              <w:right w:w="90" w:type="dxa"/>
            </w:tcMar>
          </w:tcPr>
          <w:p>
            <w:pPr>
              <w:spacing w:before="0" w:after="0"/>
              <w:jc w:val="left"/>
            </w:pPr>
            <w:r>
              <w:rPr>
                <w:rFonts w:ascii="Calibri" w:hAnsi="Calibri"/>
                <w:color w:val="334155"/>
                <w:sz w:val="15"/>
              </w:rPr>
              <w:t>400</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5"/>
              </w:rPr>
              <w:t>event.status != 'active'</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Transaction rejected</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5"/>
              </w:rPr>
              <w:t>Warning toast: 'Event is not currently open for bookings.'</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Missing / Expired JWT Token</w:t>
            </w:r>
          </w:p>
        </w:tc>
        <w:tc>
          <w:tcPr>
            <w:tcW w:type="dxa" w:w="864"/>
            <w:shd w:fill="FFFFFF"/>
            <w:tcMar>
              <w:top w:w="50" w:type="dxa"/>
              <w:bottom w:w="50" w:type="dxa"/>
              <w:left w:w="90" w:type="dxa"/>
              <w:right w:w="90" w:type="dxa"/>
            </w:tcMar>
          </w:tcPr>
          <w:p>
            <w:pPr>
              <w:spacing w:before="0" w:after="0"/>
              <w:jc w:val="left"/>
            </w:pPr>
            <w:r>
              <w:rPr>
                <w:rFonts w:ascii="Calibri" w:hAnsi="Calibri"/>
                <w:color w:val="334155"/>
                <w:sz w:val="15"/>
              </w:rPr>
              <w:t>401</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Cookie missing or invalid signature</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Auth middleware rejects request</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5"/>
              </w:rPr>
              <w:t>Session reset; modal redirect prompt to /login</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5"/>
              </w:rPr>
              <w:t>Unauthorized Role Access</w:t>
            </w:r>
          </w:p>
        </w:tc>
        <w:tc>
          <w:tcPr>
            <w:tcW w:type="dxa" w:w="864"/>
            <w:shd w:fill="F8FAFC"/>
            <w:tcMar>
              <w:top w:w="50" w:type="dxa"/>
              <w:bottom w:w="50" w:type="dxa"/>
              <w:left w:w="90" w:type="dxa"/>
              <w:right w:w="90" w:type="dxa"/>
            </w:tcMar>
          </w:tcPr>
          <w:p>
            <w:pPr>
              <w:spacing w:before="0" w:after="0"/>
              <w:jc w:val="left"/>
            </w:pPr>
            <w:r>
              <w:rPr>
                <w:rFonts w:ascii="Calibri" w:hAnsi="Calibri"/>
                <w:color w:val="334155"/>
                <w:sz w:val="15"/>
              </w:rPr>
              <w:t>403</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5"/>
              </w:rPr>
              <w:t>Role mismatch on protected route</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Route dependency execution halted</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5"/>
              </w:rPr>
              <w:t>Access Denied display with role escalation notice</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Process Crash During Booking</w:t>
            </w:r>
          </w:p>
        </w:tc>
        <w:tc>
          <w:tcPr>
            <w:tcW w:type="dxa" w:w="864"/>
            <w:shd w:fill="FFFFFF"/>
            <w:tcMar>
              <w:top w:w="50" w:type="dxa"/>
              <w:bottom w:w="50" w:type="dxa"/>
              <w:left w:w="90" w:type="dxa"/>
              <w:right w:w="90" w:type="dxa"/>
            </w:tcMar>
          </w:tcPr>
          <w:p>
            <w:pPr>
              <w:spacing w:before="0" w:after="0"/>
              <w:jc w:val="left"/>
            </w:pPr>
            <w:r>
              <w:rPr>
                <w:rFonts w:ascii="Calibri" w:hAnsi="Calibri"/>
                <w:color w:val="334155"/>
                <w:sz w:val="15"/>
              </w:rPr>
              <w:t>500</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SIGKILL / OS power failure</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SQLite WAL rollback upon server reboot</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5"/>
              </w:rPr>
              <w:t>Client catches network error; cart preserved for retry</w:t>
            </w:r>
          </w:p>
        </w:tc>
      </w:tr>
    </w:tbl>
    <w:p>
      <w:pPr>
        <w:keepNext/>
        <w:spacing w:before="120" w:after="40"/>
      </w:pPr>
      <w:r>
        <w:rPr>
          <w:rFonts w:ascii="Calibri" w:hAnsi="Calibri"/>
          <w:b/>
          <w:color w:val="1E40AF"/>
          <w:sz w:val="22"/>
        </w:rPr>
        <w:t>3.2 Security &amp; Authorization Guardrails</w:t>
      </w:r>
    </w:p>
    <w:p>
      <w:pPr>
        <w:spacing w:before="0" w:after="60" w:line="269" w:lineRule="auto"/>
      </w:pPr>
      <w:r>
        <w:rPr>
          <w:rFonts w:ascii="Calibri" w:hAnsi="Calibri"/>
          <w:b/>
          <w:color w:val="0F172A"/>
          <w:sz w:val="19"/>
        </w:rPr>
        <w:t xml:space="preserve">Role Security Policies: </w:t>
      </w:r>
      <w:r>
        <w:rPr>
          <w:rFonts w:ascii="Calibri" w:hAnsi="Calibri"/>
          <w:color w:val="334155"/>
          <w:sz w:val="18"/>
        </w:rPr>
        <w:t>1. Web Registration Lockdown: /api/auth/register strictly prohibits user_type='admin'. Platform administrators can only be created via the CLI utility (create_admin.py).</w:t>
        <w:br/>
        <w:t>2. Scope Isolation: Organizers can only inspect, modify pricing, or retrieve transactions for events matching their authenticated user_id.</w:t>
      </w:r>
    </w:p>
    <w:p>
      <w:r>
        <w:br w:type="page"/>
      </w:r>
    </w:p>
    <w:p>
      <w:pPr>
        <w:keepNext/>
        <w:spacing w:before="160" w:after="60"/>
        <w:pBdr>
          <w:bottom w:val="single" w:sz="6" w:space="2" w:color="2563EB"/>
        </w:pBdr>
      </w:pPr>
      <w:r>
        <w:rPr>
          <w:rFonts w:ascii="Calibri" w:hAnsi="Calibri"/>
          <w:b/>
          <w:color w:val="0F172A"/>
          <w:sz w:val="28"/>
        </w:rPr>
        <w:t>4. Database Architecture &amp; Relational Schemas</w:t>
      </w:r>
    </w:p>
    <w:p>
      <w:pPr>
        <w:spacing w:before="0" w:after="60" w:line="269" w:lineRule="auto"/>
      </w:pPr>
      <w:r>
        <w:rPr>
          <w:rFonts w:ascii="Calibri" w:hAnsi="Calibri"/>
          <w:b/>
          <w:color w:val="0F172A"/>
          <w:sz w:val="19"/>
        </w:rPr>
        <w:t xml:space="preserve">Relational Schema Design: </w:t>
      </w:r>
      <w:r>
        <w:rPr>
          <w:rFonts w:ascii="Calibri" w:hAnsi="Calibri"/>
          <w:color w:val="334155"/>
          <w:sz w:val="18"/>
        </w:rPr>
        <w:t>The AuraPass persistence model enforces relational integrity, foreign key constraints (PRAGMA foreign_keys = ON), and 3NF normalization across three core entities: users, events, and sells.</w:t>
      </w:r>
    </w:p>
    <w:p>
      <w:pPr>
        <w:spacing w:before="80" w:after="20"/>
        <w:jc w:val="center"/>
      </w:pPr>
      <w:r>
        <w:drawing>
          <wp:inline xmlns:a="http://schemas.openxmlformats.org/drawingml/2006/main" xmlns:pic="http://schemas.openxmlformats.org/drawingml/2006/picture">
            <wp:extent cx="4023360" cy="2332873"/>
            <wp:docPr id="3" name="Picture 3"/>
            <wp:cNvGraphicFramePr>
              <a:graphicFrameLocks noChangeAspect="1"/>
            </wp:cNvGraphicFramePr>
            <a:graphic>
              <a:graphicData uri="http://schemas.openxmlformats.org/drawingml/2006/picture">
                <pic:pic>
                  <pic:nvPicPr>
                    <pic:cNvPr id="0" name="fig4_database_er_diagram.png"/>
                    <pic:cNvPicPr/>
                  </pic:nvPicPr>
                  <pic:blipFill>
                    <a:blip r:embed="rId13"/>
                    <a:stretch>
                      <a:fillRect/>
                    </a:stretch>
                  </pic:blipFill>
                  <pic:spPr>
                    <a:xfrm>
                      <a:off x="0" y="0"/>
                      <a:ext cx="4023360" cy="2332873"/>
                    </a:xfrm>
                    <a:prstGeom prst="rect"/>
                  </pic:spPr>
                </pic:pic>
              </a:graphicData>
            </a:graphic>
          </wp:inline>
        </w:drawing>
      </w:r>
    </w:p>
    <w:p>
      <w:pPr>
        <w:spacing w:before="20" w:after="80"/>
        <w:jc w:val="center"/>
      </w:pPr>
      <w:r>
        <w:rPr>
          <w:rFonts w:ascii="Calibri" w:hAnsi="Calibri"/>
          <w:b/>
          <w:color w:val="2563EB"/>
          <w:sz w:val="17"/>
        </w:rPr>
        <w:t xml:space="preserve">Figure 3: </w:t>
      </w:r>
      <w:r>
        <w:rPr>
          <w:rFonts w:ascii="Calibri" w:hAnsi="Calibri"/>
          <w:i/>
          <w:color w:val="64748B"/>
          <w:sz w:val="17"/>
        </w:rPr>
        <w:t>AuraPass Relational Entity-Relationship Diagram: Constraints, Primary Keys &amp; Foreign Keys</w:t>
      </w:r>
    </w:p>
    <w:p>
      <w:pPr>
        <w:keepNext/>
        <w:spacing w:before="120" w:after="40"/>
      </w:pPr>
      <w:r>
        <w:rPr>
          <w:rFonts w:ascii="Calibri" w:hAnsi="Calibri"/>
          <w:b/>
          <w:color w:val="1E40AF"/>
          <w:sz w:val="22"/>
        </w:rPr>
        <w:t>4.1 Table Schema: users (Identity &amp; Role-Based Access)</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1728"/>
            <w:shd w:fill="0F172A"/>
            <w:tcMar>
              <w:top w:w="70" w:type="dxa"/>
              <w:bottom w:w="70" w:type="dxa"/>
              <w:left w:w="90" w:type="dxa"/>
              <w:right w:w="90" w:type="dxa"/>
            </w:tcMar>
          </w:tcPr>
          <w:p>
            <w:pPr>
              <w:spacing w:before="0" w:after="0"/>
              <w:jc w:val="left"/>
            </w:pPr>
            <w:r>
              <w:rPr>
                <w:rFonts w:ascii="Calibri" w:hAnsi="Calibri"/>
                <w:b/>
                <w:color w:val="FFFFFF"/>
                <w:sz w:val="16"/>
              </w:rPr>
              <w:t>Column Name</w:t>
            </w:r>
          </w:p>
        </w:tc>
        <w:tc>
          <w:tcPr>
            <w:tcW w:type="dxa" w:w="1440"/>
            <w:shd w:fill="0F172A"/>
            <w:tcMar>
              <w:top w:w="70" w:type="dxa"/>
              <w:bottom w:w="70" w:type="dxa"/>
              <w:left w:w="90" w:type="dxa"/>
              <w:right w:w="90" w:type="dxa"/>
            </w:tcMar>
          </w:tcPr>
          <w:p>
            <w:pPr>
              <w:spacing w:before="0" w:after="0"/>
              <w:jc w:val="left"/>
            </w:pPr>
            <w:r>
              <w:rPr>
                <w:rFonts w:ascii="Calibri" w:hAnsi="Calibri"/>
                <w:b/>
                <w:color w:val="FFFFFF"/>
                <w:sz w:val="16"/>
              </w:rPr>
              <w:t>Data Type</w:t>
            </w:r>
          </w:p>
        </w:tc>
        <w:tc>
          <w:tcPr>
            <w:tcW w:type="dxa" w:w="2160"/>
            <w:shd w:fill="0F172A"/>
            <w:tcMar>
              <w:top w:w="70" w:type="dxa"/>
              <w:bottom w:w="70" w:type="dxa"/>
              <w:left w:w="90" w:type="dxa"/>
              <w:right w:w="90" w:type="dxa"/>
            </w:tcMar>
          </w:tcPr>
          <w:p>
            <w:pPr>
              <w:spacing w:before="0" w:after="0"/>
              <w:jc w:val="left"/>
            </w:pPr>
            <w:r>
              <w:rPr>
                <w:rFonts w:ascii="Calibri" w:hAnsi="Calibri"/>
                <w:b/>
                <w:color w:val="FFFFFF"/>
                <w:sz w:val="16"/>
              </w:rPr>
              <w:t>Constraints</w:t>
            </w:r>
          </w:p>
        </w:tc>
        <w:tc>
          <w:tcPr>
            <w:tcW w:type="dxa" w:w="1152"/>
            <w:shd w:fill="0F172A"/>
            <w:tcMar>
              <w:top w:w="70" w:type="dxa"/>
              <w:bottom w:w="70" w:type="dxa"/>
              <w:left w:w="90" w:type="dxa"/>
              <w:right w:w="90" w:type="dxa"/>
            </w:tcMar>
          </w:tcPr>
          <w:p>
            <w:pPr>
              <w:spacing w:before="0" w:after="0"/>
              <w:jc w:val="left"/>
            </w:pPr>
            <w:r>
              <w:rPr>
                <w:rFonts w:ascii="Calibri" w:hAnsi="Calibri"/>
                <w:b/>
                <w:color w:val="FFFFFF"/>
                <w:sz w:val="16"/>
              </w:rPr>
              <w:t>Default</w:t>
            </w:r>
          </w:p>
        </w:tc>
        <w:tc>
          <w:tcPr>
            <w:tcW w:type="dxa" w:w="3600"/>
            <w:shd w:fill="0F172A"/>
            <w:tcMar>
              <w:top w:w="70" w:type="dxa"/>
              <w:bottom w:w="70" w:type="dxa"/>
              <w:left w:w="90" w:type="dxa"/>
              <w:right w:w="90" w:type="dxa"/>
            </w:tcMar>
          </w:tcPr>
          <w:p>
            <w:pPr>
              <w:spacing w:before="0" w:after="0"/>
              <w:jc w:val="left"/>
            </w:pPr>
            <w:r>
              <w:rPr>
                <w:rFonts w:ascii="Calibri" w:hAnsi="Calibri"/>
                <w:b/>
                <w:color w:val="FFFFFF"/>
                <w:sz w:val="16"/>
              </w:rPr>
              <w:t>Operational Purpose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5"/>
              </w:rPr>
              <w:t>u_id</w:t>
            </w:r>
          </w:p>
        </w:tc>
        <w:tc>
          <w:tcPr>
            <w:tcW w:type="dxa" w:w="1440"/>
            <w:shd w:fill="FFFFFF"/>
            <w:tcMar>
              <w:top w:w="50" w:type="dxa"/>
              <w:bottom w:w="50" w:type="dxa"/>
              <w:left w:w="90" w:type="dxa"/>
              <w:right w:w="90" w:type="dxa"/>
            </w:tcMar>
          </w:tcPr>
          <w:p>
            <w:pPr>
              <w:spacing w:before="0" w:after="0"/>
              <w:jc w:val="left"/>
            </w:pPr>
            <w:r>
              <w:rPr>
                <w:rFonts w:ascii="Calibri" w:hAnsi="Calibri"/>
                <w:color w:val="334155"/>
                <w:sz w:val="15"/>
              </w:rPr>
              <w:t>INTEGER</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PRIMARY KEY AUTOINCREMENT</w:t>
            </w:r>
          </w:p>
        </w:tc>
        <w:tc>
          <w:tcPr>
            <w:tcW w:type="dxa" w:w="1152"/>
            <w:shd w:fill="FFFFFF"/>
            <w:tcMar>
              <w:top w:w="50" w:type="dxa"/>
              <w:bottom w:w="50" w:type="dxa"/>
              <w:left w:w="90" w:type="dxa"/>
              <w:right w:w="90" w:type="dxa"/>
            </w:tcMar>
          </w:tcPr>
          <w:p>
            <w:pPr>
              <w:spacing w:before="0" w:after="0"/>
              <w:jc w:val="left"/>
            </w:pPr>
            <w:r>
              <w:rPr>
                <w:rFonts w:ascii="Calibri" w:hAnsi="Calibri"/>
                <w:color w:val="334155"/>
                <w:sz w:val="15"/>
              </w:rPr>
              <w:t>Auto</w:t>
            </w:r>
          </w:p>
        </w:tc>
        <w:tc>
          <w:tcPr>
            <w:tcW w:type="dxa" w:w="3600"/>
            <w:shd w:fill="FFFFFF"/>
            <w:tcMar>
              <w:top w:w="50" w:type="dxa"/>
              <w:bottom w:w="50" w:type="dxa"/>
              <w:left w:w="90" w:type="dxa"/>
              <w:right w:w="90" w:type="dxa"/>
            </w:tcMar>
          </w:tcPr>
          <w:p>
            <w:pPr>
              <w:spacing w:before="0" w:after="0"/>
              <w:jc w:val="left"/>
            </w:pPr>
            <w:r>
              <w:rPr>
                <w:rFonts w:ascii="Calibri" w:hAnsi="Calibri"/>
                <w:color w:val="334155"/>
                <w:sz w:val="15"/>
              </w:rPr>
              <w:t>Surrogate unique identifier for the user account.</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5"/>
              </w:rPr>
              <w:t>username</w:t>
            </w:r>
          </w:p>
        </w:tc>
        <w:tc>
          <w:tcPr>
            <w:tcW w:type="dxa" w:w="1440"/>
            <w:shd w:fill="F8FAFC"/>
            <w:tcMar>
              <w:top w:w="50" w:type="dxa"/>
              <w:bottom w:w="50" w:type="dxa"/>
              <w:left w:w="90" w:type="dxa"/>
              <w:right w:w="90" w:type="dxa"/>
            </w:tcMar>
          </w:tcPr>
          <w:p>
            <w:pPr>
              <w:spacing w:before="0" w:after="0"/>
              <w:jc w:val="left"/>
            </w:pPr>
            <w:r>
              <w:rPr>
                <w:rFonts w:ascii="Calibri" w:hAnsi="Calibri"/>
                <w:color w:val="334155"/>
                <w:sz w:val="15"/>
              </w:rPr>
              <w:t>TEXT</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UNIQUE, NOT NULL</w:t>
            </w:r>
          </w:p>
        </w:tc>
        <w:tc>
          <w:tcPr>
            <w:tcW w:type="dxa" w:w="1152"/>
            <w:shd w:fill="F8FAFC"/>
            <w:tcMar>
              <w:top w:w="50" w:type="dxa"/>
              <w:bottom w:w="50" w:type="dxa"/>
              <w:left w:w="90" w:type="dxa"/>
              <w:right w:w="90" w:type="dxa"/>
            </w:tcMar>
          </w:tcPr>
          <w:p>
            <w:pPr>
              <w:spacing w:before="0" w:after="0"/>
              <w:jc w:val="left"/>
            </w:pPr>
            <w:r>
              <w:rPr>
                <w:rFonts w:ascii="Calibri" w:hAnsi="Calibri"/>
                <w:color w:val="334155"/>
                <w:sz w:val="15"/>
              </w:rPr>
              <w:t>None</w:t>
            </w:r>
          </w:p>
        </w:tc>
        <w:tc>
          <w:tcPr>
            <w:tcW w:type="dxa" w:w="3600"/>
            <w:shd w:fill="F8FAFC"/>
            <w:tcMar>
              <w:top w:w="50" w:type="dxa"/>
              <w:bottom w:w="50" w:type="dxa"/>
              <w:left w:w="90" w:type="dxa"/>
              <w:right w:w="90" w:type="dxa"/>
            </w:tcMar>
          </w:tcPr>
          <w:p>
            <w:pPr>
              <w:spacing w:before="0" w:after="0"/>
              <w:jc w:val="left"/>
            </w:pPr>
            <w:r>
              <w:rPr>
                <w:rFonts w:ascii="Calibri" w:hAnsi="Calibri"/>
                <w:color w:val="334155"/>
                <w:sz w:val="15"/>
              </w:rPr>
              <w:t>Unique public handle and account login name.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5"/>
              </w:rPr>
              <w:t>email</w:t>
            </w:r>
          </w:p>
        </w:tc>
        <w:tc>
          <w:tcPr>
            <w:tcW w:type="dxa" w:w="1440"/>
            <w:shd w:fill="FFFFFF"/>
            <w:tcMar>
              <w:top w:w="50" w:type="dxa"/>
              <w:bottom w:w="50" w:type="dxa"/>
              <w:left w:w="90" w:type="dxa"/>
              <w:right w:w="90" w:type="dxa"/>
            </w:tcMar>
          </w:tcPr>
          <w:p>
            <w:pPr>
              <w:spacing w:before="0" w:after="0"/>
              <w:jc w:val="left"/>
            </w:pPr>
            <w:r>
              <w:rPr>
                <w:rFonts w:ascii="Calibri" w:hAnsi="Calibri"/>
                <w:color w:val="334155"/>
                <w:sz w:val="15"/>
              </w:rPr>
              <w:t>TEXT</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UNIQUE, NOT NULL</w:t>
            </w:r>
          </w:p>
        </w:tc>
        <w:tc>
          <w:tcPr>
            <w:tcW w:type="dxa" w:w="1152"/>
            <w:shd w:fill="FFFFFF"/>
            <w:tcMar>
              <w:top w:w="50" w:type="dxa"/>
              <w:bottom w:w="50" w:type="dxa"/>
              <w:left w:w="90" w:type="dxa"/>
              <w:right w:w="90" w:type="dxa"/>
            </w:tcMar>
          </w:tcPr>
          <w:p>
            <w:pPr>
              <w:spacing w:before="0" w:after="0"/>
              <w:jc w:val="left"/>
            </w:pPr>
            <w:r>
              <w:rPr>
                <w:rFonts w:ascii="Calibri" w:hAnsi="Calibri"/>
                <w:color w:val="334155"/>
                <w:sz w:val="15"/>
              </w:rPr>
              <w:t>None</w:t>
            </w:r>
          </w:p>
        </w:tc>
        <w:tc>
          <w:tcPr>
            <w:tcW w:type="dxa" w:w="3600"/>
            <w:shd w:fill="FFFFFF"/>
            <w:tcMar>
              <w:top w:w="50" w:type="dxa"/>
              <w:bottom w:w="50" w:type="dxa"/>
              <w:left w:w="90" w:type="dxa"/>
              <w:right w:w="90" w:type="dxa"/>
            </w:tcMar>
          </w:tcPr>
          <w:p>
            <w:pPr>
              <w:spacing w:before="0" w:after="0"/>
              <w:jc w:val="left"/>
            </w:pPr>
            <w:r>
              <w:rPr>
                <w:rFonts w:ascii="Calibri" w:hAnsi="Calibri"/>
                <w:color w:val="334155"/>
                <w:sz w:val="15"/>
              </w:rPr>
              <w:t>Validated email address for authentication and receipts.</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5"/>
              </w:rPr>
              <w:t>password</w:t>
            </w:r>
          </w:p>
        </w:tc>
        <w:tc>
          <w:tcPr>
            <w:tcW w:type="dxa" w:w="1440"/>
            <w:shd w:fill="F8FAFC"/>
            <w:tcMar>
              <w:top w:w="50" w:type="dxa"/>
              <w:bottom w:w="50" w:type="dxa"/>
              <w:left w:w="90" w:type="dxa"/>
              <w:right w:w="90" w:type="dxa"/>
            </w:tcMar>
          </w:tcPr>
          <w:p>
            <w:pPr>
              <w:spacing w:before="0" w:after="0"/>
              <w:jc w:val="left"/>
            </w:pPr>
            <w:r>
              <w:rPr>
                <w:rFonts w:ascii="Calibri" w:hAnsi="Calibri"/>
                <w:color w:val="334155"/>
                <w:sz w:val="15"/>
              </w:rPr>
              <w:t>TEXT</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NOT NULL</w:t>
            </w:r>
          </w:p>
        </w:tc>
        <w:tc>
          <w:tcPr>
            <w:tcW w:type="dxa" w:w="1152"/>
            <w:shd w:fill="F8FAFC"/>
            <w:tcMar>
              <w:top w:w="50" w:type="dxa"/>
              <w:bottom w:w="50" w:type="dxa"/>
              <w:left w:w="90" w:type="dxa"/>
              <w:right w:w="90" w:type="dxa"/>
            </w:tcMar>
          </w:tcPr>
          <w:p>
            <w:pPr>
              <w:spacing w:before="0" w:after="0"/>
              <w:jc w:val="left"/>
            </w:pPr>
            <w:r>
              <w:rPr>
                <w:rFonts w:ascii="Calibri" w:hAnsi="Calibri"/>
                <w:color w:val="334155"/>
                <w:sz w:val="15"/>
              </w:rPr>
              <w:t>None</w:t>
            </w:r>
          </w:p>
        </w:tc>
        <w:tc>
          <w:tcPr>
            <w:tcW w:type="dxa" w:w="3600"/>
            <w:shd w:fill="F8FAFC"/>
            <w:tcMar>
              <w:top w:w="50" w:type="dxa"/>
              <w:bottom w:w="50" w:type="dxa"/>
              <w:left w:w="90" w:type="dxa"/>
              <w:right w:w="90" w:type="dxa"/>
            </w:tcMar>
          </w:tcPr>
          <w:p>
            <w:pPr>
              <w:spacing w:before="0" w:after="0"/>
              <w:jc w:val="left"/>
            </w:pPr>
            <w:r>
              <w:rPr>
                <w:rFonts w:ascii="Calibri" w:hAnsi="Calibri"/>
                <w:color w:val="334155"/>
                <w:sz w:val="15"/>
              </w:rPr>
              <w:t>Bcrypt cryptographic hash with unique 12-round salt.</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5"/>
              </w:rPr>
              <w:t>user_type</w:t>
            </w:r>
          </w:p>
        </w:tc>
        <w:tc>
          <w:tcPr>
            <w:tcW w:type="dxa" w:w="1440"/>
            <w:shd w:fill="FFFFFF"/>
            <w:tcMar>
              <w:top w:w="50" w:type="dxa"/>
              <w:bottom w:w="50" w:type="dxa"/>
              <w:left w:w="90" w:type="dxa"/>
              <w:right w:w="90" w:type="dxa"/>
            </w:tcMar>
          </w:tcPr>
          <w:p>
            <w:pPr>
              <w:spacing w:before="0" w:after="0"/>
              <w:jc w:val="left"/>
            </w:pPr>
            <w:r>
              <w:rPr>
                <w:rFonts w:ascii="Calibri" w:hAnsi="Calibri"/>
                <w:color w:val="334155"/>
                <w:sz w:val="15"/>
              </w:rPr>
              <w:t>TEXT</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CHECK IN ('admin','buyer','organizer')</w:t>
            </w:r>
          </w:p>
        </w:tc>
        <w:tc>
          <w:tcPr>
            <w:tcW w:type="dxa" w:w="1152"/>
            <w:shd w:fill="FFFFFF"/>
            <w:tcMar>
              <w:top w:w="50" w:type="dxa"/>
              <w:bottom w:w="50" w:type="dxa"/>
              <w:left w:w="90" w:type="dxa"/>
              <w:right w:w="90" w:type="dxa"/>
            </w:tcMar>
          </w:tcPr>
          <w:p>
            <w:pPr>
              <w:spacing w:before="0" w:after="0"/>
              <w:jc w:val="left"/>
            </w:pPr>
            <w:r>
              <w:rPr>
                <w:rFonts w:ascii="Calibri" w:hAnsi="Calibri"/>
                <w:color w:val="334155"/>
                <w:sz w:val="15"/>
              </w:rPr>
              <w:t>None</w:t>
            </w:r>
          </w:p>
        </w:tc>
        <w:tc>
          <w:tcPr>
            <w:tcW w:type="dxa" w:w="3600"/>
            <w:shd w:fill="FFFFFF"/>
            <w:tcMar>
              <w:top w:w="50" w:type="dxa"/>
              <w:bottom w:w="50" w:type="dxa"/>
              <w:left w:w="90" w:type="dxa"/>
              <w:right w:w="90" w:type="dxa"/>
            </w:tcMar>
          </w:tcPr>
          <w:p>
            <w:pPr>
              <w:spacing w:before="0" w:after="0"/>
              <w:jc w:val="left"/>
            </w:pPr>
            <w:r>
              <w:rPr>
                <w:rFonts w:ascii="Calibri" w:hAnsi="Calibri"/>
                <w:color w:val="334155"/>
                <w:sz w:val="15"/>
              </w:rPr>
              <w:t>RBAC authorization role dictating API permissions.</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5"/>
              </w:rPr>
              <w:t>created_at</w:t>
            </w:r>
          </w:p>
        </w:tc>
        <w:tc>
          <w:tcPr>
            <w:tcW w:type="dxa" w:w="1440"/>
            <w:shd w:fill="F8FAFC"/>
            <w:tcMar>
              <w:top w:w="50" w:type="dxa"/>
              <w:bottom w:w="50" w:type="dxa"/>
              <w:left w:w="90" w:type="dxa"/>
              <w:right w:w="90" w:type="dxa"/>
            </w:tcMar>
          </w:tcPr>
          <w:p>
            <w:pPr>
              <w:spacing w:before="0" w:after="0"/>
              <w:jc w:val="left"/>
            </w:pPr>
            <w:r>
              <w:rPr>
                <w:rFonts w:ascii="Calibri" w:hAnsi="Calibri"/>
                <w:color w:val="334155"/>
                <w:sz w:val="15"/>
              </w:rPr>
              <w:t>TEXT</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NOT NULL</w:t>
            </w:r>
          </w:p>
        </w:tc>
        <w:tc>
          <w:tcPr>
            <w:tcW w:type="dxa" w:w="1152"/>
            <w:shd w:fill="F8FAFC"/>
            <w:tcMar>
              <w:top w:w="50" w:type="dxa"/>
              <w:bottom w:w="50" w:type="dxa"/>
              <w:left w:w="90" w:type="dxa"/>
              <w:right w:w="90" w:type="dxa"/>
            </w:tcMar>
          </w:tcPr>
          <w:p>
            <w:pPr>
              <w:spacing w:before="0" w:after="0"/>
              <w:jc w:val="left"/>
            </w:pPr>
            <w:r>
              <w:rPr>
                <w:rFonts w:ascii="Calibri" w:hAnsi="Calibri"/>
                <w:color w:val="334155"/>
                <w:sz w:val="15"/>
              </w:rPr>
              <w:t>None</w:t>
            </w:r>
          </w:p>
        </w:tc>
        <w:tc>
          <w:tcPr>
            <w:tcW w:type="dxa" w:w="3600"/>
            <w:shd w:fill="F8FAFC"/>
            <w:tcMar>
              <w:top w:w="50" w:type="dxa"/>
              <w:bottom w:w="50" w:type="dxa"/>
              <w:left w:w="90" w:type="dxa"/>
              <w:right w:w="90" w:type="dxa"/>
            </w:tcMar>
          </w:tcPr>
          <w:p>
            <w:pPr>
              <w:spacing w:before="0" w:after="0"/>
              <w:jc w:val="left"/>
            </w:pPr>
            <w:r>
              <w:rPr>
                <w:rFonts w:ascii="Calibri" w:hAnsi="Calibri"/>
                <w:color w:val="334155"/>
                <w:sz w:val="15"/>
              </w:rPr>
              <w:t>ISO-8601 UTC timestamp of account registration.</w:t>
            </w:r>
          </w:p>
        </w:tc>
      </w:tr>
    </w:tbl>
    <w:p>
      <w:pPr>
        <w:keepNext/>
        <w:spacing w:before="120" w:after="40"/>
      </w:pPr>
      <w:r>
        <w:rPr>
          <w:rFonts w:ascii="Calibri" w:hAnsi="Calibri"/>
          <w:b/>
          <w:color w:val="1E40AF"/>
          <w:sz w:val="22"/>
        </w:rPr>
        <w:t>4.2 Referential Integrity &amp; Cascades</w:t>
      </w:r>
    </w:p>
    <w:p>
      <w:pPr>
        <w:spacing w:before="0" w:after="60" w:line="269" w:lineRule="auto"/>
      </w:pPr>
      <w:r>
        <w:rPr>
          <w:rFonts w:ascii="Calibri" w:hAnsi="Calibri"/>
          <w:b/>
          <w:color w:val="0F172A"/>
          <w:sz w:val="19"/>
        </w:rPr>
        <w:t xml:space="preserve">Integrity Guarantees: </w:t>
      </w:r>
      <w:r>
        <w:rPr>
          <w:rFonts w:ascii="Calibri" w:hAnsi="Calibri"/>
          <w:color w:val="334155"/>
          <w:sz w:val="18"/>
        </w:rPr>
        <w:t>• Foreign Key Cascades: Deleting an organizer cascades through SQLite to purge associated events and sells records, preventing orphaned database artifacts.</w:t>
        <w:br/>
        <w:t>• Seat Uniqueness: Compound constraint enforcement prevents any single seat coordinate from existing more than once per event in the sells ledger.</w:t>
      </w:r>
    </w:p>
    <w:p>
      <w:r>
        <w:br w:type="page"/>
      </w:r>
    </w:p>
    <w:p>
      <w:pPr>
        <w:keepNext/>
        <w:spacing w:before="160" w:after="60"/>
        <w:pBdr>
          <w:bottom w:val="single" w:sz="6" w:space="2" w:color="2563EB"/>
        </w:pBdr>
      </w:pPr>
      <w:r>
        <w:rPr>
          <w:rFonts w:ascii="Calibri" w:hAnsi="Calibri"/>
          <w:b/>
          <w:color w:val="0F172A"/>
          <w:sz w:val="28"/>
        </w:rPr>
        <w:t>5. Catalog Schemas, Transactions &amp; Venue Topologies</w:t>
      </w:r>
    </w:p>
    <w:p>
      <w:pPr>
        <w:keepNext/>
        <w:spacing w:before="120" w:after="40"/>
      </w:pPr>
      <w:r>
        <w:rPr>
          <w:rFonts w:ascii="Calibri" w:hAnsi="Calibri"/>
          <w:b/>
          <w:color w:val="1E40AF"/>
          <w:sz w:val="22"/>
        </w:rPr>
        <w:t>5.1 Table Schema: events (Event Catalog &amp; Pricing Engine Inputs)</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1728"/>
            <w:shd w:fill="0F172A"/>
            <w:tcMar>
              <w:top w:w="70" w:type="dxa"/>
              <w:bottom w:w="70" w:type="dxa"/>
              <w:left w:w="90" w:type="dxa"/>
              <w:right w:w="90" w:type="dxa"/>
            </w:tcMar>
          </w:tcPr>
          <w:p>
            <w:pPr>
              <w:spacing w:before="0" w:after="0"/>
              <w:jc w:val="left"/>
            </w:pPr>
            <w:r>
              <w:rPr>
                <w:rFonts w:ascii="Calibri" w:hAnsi="Calibri"/>
                <w:b/>
                <w:color w:val="FFFFFF"/>
                <w:sz w:val="15"/>
              </w:rPr>
              <w:t>Column Name</w:t>
            </w:r>
          </w:p>
        </w:tc>
        <w:tc>
          <w:tcPr>
            <w:tcW w:type="dxa" w:w="1296"/>
            <w:shd w:fill="0F172A"/>
            <w:tcMar>
              <w:top w:w="70" w:type="dxa"/>
              <w:bottom w:w="70" w:type="dxa"/>
              <w:left w:w="90" w:type="dxa"/>
              <w:right w:w="90" w:type="dxa"/>
            </w:tcMar>
          </w:tcPr>
          <w:p>
            <w:pPr>
              <w:spacing w:before="0" w:after="0"/>
              <w:jc w:val="left"/>
            </w:pPr>
            <w:r>
              <w:rPr>
                <w:rFonts w:ascii="Calibri" w:hAnsi="Calibri"/>
                <w:b/>
                <w:color w:val="FFFFFF"/>
                <w:sz w:val="15"/>
              </w:rPr>
              <w:t>Data Type</w:t>
            </w:r>
          </w:p>
        </w:tc>
        <w:tc>
          <w:tcPr>
            <w:tcW w:type="dxa" w:w="2304"/>
            <w:shd w:fill="0F172A"/>
            <w:tcMar>
              <w:top w:w="70" w:type="dxa"/>
              <w:bottom w:w="70" w:type="dxa"/>
              <w:left w:w="90" w:type="dxa"/>
              <w:right w:w="90" w:type="dxa"/>
            </w:tcMar>
          </w:tcPr>
          <w:p>
            <w:pPr>
              <w:spacing w:before="0" w:after="0"/>
              <w:jc w:val="left"/>
            </w:pPr>
            <w:r>
              <w:rPr>
                <w:rFonts w:ascii="Calibri" w:hAnsi="Calibri"/>
                <w:b/>
                <w:color w:val="FFFFFF"/>
                <w:sz w:val="15"/>
              </w:rPr>
              <w:t>Constraints</w:t>
            </w:r>
          </w:p>
        </w:tc>
        <w:tc>
          <w:tcPr>
            <w:tcW w:type="dxa" w:w="1008"/>
            <w:shd w:fill="0F172A"/>
            <w:tcMar>
              <w:top w:w="70" w:type="dxa"/>
              <w:bottom w:w="70" w:type="dxa"/>
              <w:left w:w="90" w:type="dxa"/>
              <w:right w:w="90" w:type="dxa"/>
            </w:tcMar>
          </w:tcPr>
          <w:p>
            <w:pPr>
              <w:spacing w:before="0" w:after="0"/>
              <w:jc w:val="left"/>
            </w:pPr>
            <w:r>
              <w:rPr>
                <w:rFonts w:ascii="Calibri" w:hAnsi="Calibri"/>
                <w:b/>
                <w:color w:val="FFFFFF"/>
                <w:sz w:val="15"/>
              </w:rPr>
              <w:t>Default</w:t>
            </w:r>
          </w:p>
        </w:tc>
        <w:tc>
          <w:tcPr>
            <w:tcW w:type="dxa" w:w="3744"/>
            <w:shd w:fill="0F172A"/>
            <w:tcMar>
              <w:top w:w="70" w:type="dxa"/>
              <w:bottom w:w="70" w:type="dxa"/>
              <w:left w:w="90" w:type="dxa"/>
              <w:right w:w="90" w:type="dxa"/>
            </w:tcMar>
          </w:tcPr>
          <w:p>
            <w:pPr>
              <w:spacing w:before="0" w:after="0"/>
              <w:jc w:val="left"/>
            </w:pPr>
            <w:r>
              <w:rPr>
                <w:rFonts w:ascii="Calibri" w:hAnsi="Calibri"/>
                <w:b/>
                <w:color w:val="FFFFFF"/>
                <w:sz w:val="15"/>
              </w:rPr>
              <w:t>Operational Purpose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event_id</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PRIMARY KEY AUTOINCREMENT</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Auto</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Surrogate unique identifier for the hosted event.</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user_id</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NOT NULL, FK -&gt; users(u_id) ON DELETE CASCADE</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Organizer ID who owns and administers this listing.</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event_name</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Official title of performance, match, or concert.</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event_type</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CHECK IN ('concert','theater','sport')</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Genre; dictates 3D seating topology and pass prefix.</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venue</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Physical venue name, auditorium, or stadium arena.</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time</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Scheduled start time formatted as ISO-8601 string.</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capacity</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CHECK(capacity BETWEEN 10 AND 120)</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50</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Maximum available ticket inventory for the venue.</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sold_tickets</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0</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Atomic counter of total reserved tickets to date.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price_per_ticket</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REAL</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CHECK(price_per_ticket &gt; 0)</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Configured base rate prior to dynamic demand adjustments.</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offer_percent</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REAL</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CHECK(offer_percent BETWEEN 0 AND 90)</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0.0</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Post-hosting organizer promotional discount percentage.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subtitle</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Marketing tagline, performer billing, or event notes.</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status</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CHECK IN ('active','completed','cancelled')</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'active'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Event lifecycle state governing booking accessibility.</w:t>
            </w:r>
          </w:p>
        </w:tc>
      </w:tr>
    </w:tbl>
    <w:p>
      <w:pPr>
        <w:keepNext/>
        <w:spacing w:before="120" w:after="40"/>
      </w:pPr>
      <w:r>
        <w:rPr>
          <w:rFonts w:ascii="Calibri" w:hAnsi="Calibri"/>
          <w:b/>
          <w:color w:val="1E40AF"/>
          <w:sz w:val="22"/>
        </w:rPr>
        <w:t>5.2 Table Schema: sells (Ticket Transactions &amp; Reserved Seats)</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1728"/>
            <w:shd w:fill="0F172A"/>
            <w:tcMar>
              <w:top w:w="70" w:type="dxa"/>
              <w:bottom w:w="70" w:type="dxa"/>
              <w:left w:w="90" w:type="dxa"/>
              <w:right w:w="90" w:type="dxa"/>
            </w:tcMar>
          </w:tcPr>
          <w:p>
            <w:pPr>
              <w:spacing w:before="0" w:after="0"/>
              <w:jc w:val="left"/>
            </w:pPr>
            <w:r>
              <w:rPr>
                <w:rFonts w:ascii="Calibri" w:hAnsi="Calibri"/>
                <w:b/>
                <w:color w:val="FFFFFF"/>
                <w:sz w:val="15"/>
              </w:rPr>
              <w:t>Column Name</w:t>
            </w:r>
          </w:p>
        </w:tc>
        <w:tc>
          <w:tcPr>
            <w:tcW w:type="dxa" w:w="1296"/>
            <w:shd w:fill="0F172A"/>
            <w:tcMar>
              <w:top w:w="70" w:type="dxa"/>
              <w:bottom w:w="70" w:type="dxa"/>
              <w:left w:w="90" w:type="dxa"/>
              <w:right w:w="90" w:type="dxa"/>
            </w:tcMar>
          </w:tcPr>
          <w:p>
            <w:pPr>
              <w:spacing w:before="0" w:after="0"/>
              <w:jc w:val="left"/>
            </w:pPr>
            <w:r>
              <w:rPr>
                <w:rFonts w:ascii="Calibri" w:hAnsi="Calibri"/>
                <w:b/>
                <w:color w:val="FFFFFF"/>
                <w:sz w:val="15"/>
              </w:rPr>
              <w:t>Data Type</w:t>
            </w:r>
          </w:p>
        </w:tc>
        <w:tc>
          <w:tcPr>
            <w:tcW w:type="dxa" w:w="2304"/>
            <w:shd w:fill="0F172A"/>
            <w:tcMar>
              <w:top w:w="70" w:type="dxa"/>
              <w:bottom w:w="70" w:type="dxa"/>
              <w:left w:w="90" w:type="dxa"/>
              <w:right w:w="90" w:type="dxa"/>
            </w:tcMar>
          </w:tcPr>
          <w:p>
            <w:pPr>
              <w:spacing w:before="0" w:after="0"/>
              <w:jc w:val="left"/>
            </w:pPr>
            <w:r>
              <w:rPr>
                <w:rFonts w:ascii="Calibri" w:hAnsi="Calibri"/>
                <w:b/>
                <w:color w:val="FFFFFF"/>
                <w:sz w:val="15"/>
              </w:rPr>
              <w:t>Constraints</w:t>
            </w:r>
          </w:p>
        </w:tc>
        <w:tc>
          <w:tcPr>
            <w:tcW w:type="dxa" w:w="1008"/>
            <w:shd w:fill="0F172A"/>
            <w:tcMar>
              <w:top w:w="70" w:type="dxa"/>
              <w:bottom w:w="70" w:type="dxa"/>
              <w:left w:w="90" w:type="dxa"/>
              <w:right w:w="90" w:type="dxa"/>
            </w:tcMar>
          </w:tcPr>
          <w:p>
            <w:pPr>
              <w:spacing w:before="0" w:after="0"/>
              <w:jc w:val="left"/>
            </w:pPr>
            <w:r>
              <w:rPr>
                <w:rFonts w:ascii="Calibri" w:hAnsi="Calibri"/>
                <w:b/>
                <w:color w:val="FFFFFF"/>
                <w:sz w:val="15"/>
              </w:rPr>
              <w:t>Default</w:t>
            </w:r>
          </w:p>
        </w:tc>
        <w:tc>
          <w:tcPr>
            <w:tcW w:type="dxa" w:w="3744"/>
            <w:shd w:fill="0F172A"/>
            <w:tcMar>
              <w:top w:w="70" w:type="dxa"/>
              <w:bottom w:w="70" w:type="dxa"/>
              <w:left w:w="90" w:type="dxa"/>
              <w:right w:w="90" w:type="dxa"/>
            </w:tcMar>
          </w:tcPr>
          <w:p>
            <w:pPr>
              <w:spacing w:before="0" w:after="0"/>
              <w:jc w:val="left"/>
            </w:pPr>
            <w:r>
              <w:rPr>
                <w:rFonts w:ascii="Calibri" w:hAnsi="Calibri"/>
                <w:b/>
                <w:color w:val="FFFFFF"/>
                <w:sz w:val="15"/>
              </w:rPr>
              <w:t>Operational Purpose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sell_id</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PRIMARY KEY AUTOINCREMENT</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Auto</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Surrogate unique identifier for ticket purchase record.</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user_id</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NOT NULL, FK -&gt; users(u_id) ON DELETE CASCADE</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Buyer user ID who purchased this admission pass.</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event_id</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INTEGER</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NOT NULL, FK -&gt; events(event_id) ON DELETE CASCADE</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Associated event listing for which pass was issued.</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selling_price</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REAL</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Final transactional price charged at moment of purchase.</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position_of_seat</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Assigned seat coordinate (e.g., 'Row D · Seat 12').</w:t>
            </w:r>
          </w:p>
        </w:tc>
      </w:tr>
      <w:tr>
        <w:tc>
          <w:tcPr>
            <w:tcW w:type="dxa" w:w="1728"/>
            <w:shd w:fill="F8FAFC"/>
            <w:tcMar>
              <w:top w:w="50" w:type="dxa"/>
              <w:bottom w:w="50" w:type="dxa"/>
              <w:left w:w="90" w:type="dxa"/>
              <w:right w:w="90" w:type="dxa"/>
            </w:tcMar>
          </w:tcPr>
          <w:p>
            <w:pPr>
              <w:spacing w:before="0" w:after="0"/>
              <w:jc w:val="left"/>
            </w:pPr>
            <w:r>
              <w:rPr>
                <w:rFonts w:ascii="Calibri" w:hAnsi="Calibri"/>
                <w:b/>
                <w:color w:val="334155"/>
                <w:sz w:val="14"/>
              </w:rPr>
              <w:t>ticket_code</w:t>
            </w:r>
          </w:p>
        </w:tc>
        <w:tc>
          <w:tcPr>
            <w:tcW w:type="dxa" w:w="1296"/>
            <w:shd w:fill="F8FAFC"/>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4"/>
              </w:rPr>
              <w:t>UNIQUE, NOT NULL</w:t>
            </w:r>
          </w:p>
        </w:tc>
        <w:tc>
          <w:tcPr>
            <w:tcW w:type="dxa" w:w="1008"/>
            <w:shd w:fill="F8FAFC"/>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8FAFC"/>
            <w:tcMar>
              <w:top w:w="50" w:type="dxa"/>
              <w:bottom w:w="50" w:type="dxa"/>
              <w:left w:w="90" w:type="dxa"/>
              <w:right w:w="90" w:type="dxa"/>
            </w:tcMar>
          </w:tcPr>
          <w:p>
            <w:pPr>
              <w:spacing w:before="0" w:after="0"/>
              <w:jc w:val="left"/>
            </w:pPr>
            <w:r>
              <w:rPr>
                <w:rFonts w:ascii="Calibri" w:hAnsi="Calibri"/>
                <w:color w:val="334155"/>
                <w:sz w:val="14"/>
              </w:rPr>
              <w:t>Tamper-evident pass code (e.g. 'CN-84920').</w:t>
            </w:r>
          </w:p>
        </w:tc>
      </w:tr>
      <w:tr>
        <w:tc>
          <w:tcPr>
            <w:tcW w:type="dxa" w:w="1728"/>
            <w:shd w:fill="FFFFFF"/>
            <w:tcMar>
              <w:top w:w="50" w:type="dxa"/>
              <w:bottom w:w="50" w:type="dxa"/>
              <w:left w:w="90" w:type="dxa"/>
              <w:right w:w="90" w:type="dxa"/>
            </w:tcMar>
          </w:tcPr>
          <w:p>
            <w:pPr>
              <w:spacing w:before="0" w:after="0"/>
              <w:jc w:val="left"/>
            </w:pPr>
            <w:r>
              <w:rPr>
                <w:rFonts w:ascii="Calibri" w:hAnsi="Calibri"/>
                <w:b/>
                <w:color w:val="334155"/>
                <w:sz w:val="14"/>
              </w:rPr>
              <w:t>purchased_at</w:t>
            </w:r>
          </w:p>
        </w:tc>
        <w:tc>
          <w:tcPr>
            <w:tcW w:type="dxa" w:w="1296"/>
            <w:shd w:fill="FFFFFF"/>
            <w:tcMar>
              <w:top w:w="50" w:type="dxa"/>
              <w:bottom w:w="50" w:type="dxa"/>
              <w:left w:w="90" w:type="dxa"/>
              <w:right w:w="90" w:type="dxa"/>
            </w:tcMar>
          </w:tcPr>
          <w:p>
            <w:pPr>
              <w:spacing w:before="0" w:after="0"/>
              <w:jc w:val="left"/>
            </w:pPr>
            <w:r>
              <w:rPr>
                <w:rFonts w:ascii="Calibri" w:hAnsi="Calibri"/>
                <w:color w:val="334155"/>
                <w:sz w:val="14"/>
              </w:rPr>
              <w:t>TEXT</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4"/>
              </w:rPr>
              <w:t>NOT NULL</w:t>
            </w:r>
          </w:p>
        </w:tc>
        <w:tc>
          <w:tcPr>
            <w:tcW w:type="dxa" w:w="1008"/>
            <w:shd w:fill="FFFFFF"/>
            <w:tcMar>
              <w:top w:w="50" w:type="dxa"/>
              <w:bottom w:w="50" w:type="dxa"/>
              <w:left w:w="90" w:type="dxa"/>
              <w:right w:w="90" w:type="dxa"/>
            </w:tcMar>
          </w:tcPr>
          <w:p>
            <w:pPr>
              <w:spacing w:before="0" w:after="0"/>
              <w:jc w:val="left"/>
            </w:pPr>
            <w:r>
              <w:rPr>
                <w:rFonts w:ascii="Calibri" w:hAnsi="Calibri"/>
                <w:color w:val="334155"/>
                <w:sz w:val="14"/>
              </w:rPr>
              <w:t>None</w:t>
            </w:r>
          </w:p>
        </w:tc>
        <w:tc>
          <w:tcPr>
            <w:tcW w:type="dxa" w:w="3744"/>
            <w:shd w:fill="FFFFFF"/>
            <w:tcMar>
              <w:top w:w="50" w:type="dxa"/>
              <w:bottom w:w="50" w:type="dxa"/>
              <w:left w:w="90" w:type="dxa"/>
              <w:right w:w="90" w:type="dxa"/>
            </w:tcMar>
          </w:tcPr>
          <w:p>
            <w:pPr>
              <w:spacing w:before="0" w:after="0"/>
              <w:jc w:val="left"/>
            </w:pPr>
            <w:r>
              <w:rPr>
                <w:rFonts w:ascii="Calibri" w:hAnsi="Calibri"/>
                <w:color w:val="334155"/>
                <w:sz w:val="14"/>
              </w:rPr>
              <w:t>ISO-8601 UTC timestamp when checkout committed.</w:t>
            </w:r>
          </w:p>
        </w:tc>
      </w:tr>
    </w:tbl>
    <w:p>
      <w:pPr>
        <w:keepNext/>
        <w:spacing w:before="120" w:after="40"/>
      </w:pPr>
      <w:r>
        <w:rPr>
          <w:rFonts w:ascii="Calibri" w:hAnsi="Calibri"/>
          <w:b/>
          <w:color w:val="1E40AF"/>
          <w:sz w:val="22"/>
        </w:rPr>
        <w:t>5.3 Venue Seating Topologies &amp; UI Design System</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1584"/>
            <w:shd w:fill="0F172A"/>
            <w:tcMar>
              <w:top w:w="70" w:type="dxa"/>
              <w:bottom w:w="70" w:type="dxa"/>
              <w:left w:w="90" w:type="dxa"/>
              <w:right w:w="90" w:type="dxa"/>
            </w:tcMar>
          </w:tcPr>
          <w:p>
            <w:pPr>
              <w:spacing w:before="0" w:after="0"/>
              <w:jc w:val="left"/>
            </w:pPr>
            <w:r>
              <w:rPr>
                <w:rFonts w:ascii="Calibri" w:hAnsi="Calibri"/>
                <w:b/>
                <w:color w:val="FFFFFF"/>
                <w:sz w:val="15"/>
              </w:rPr>
              <w:t>Category</w:t>
            </w:r>
          </w:p>
        </w:tc>
        <w:tc>
          <w:tcPr>
            <w:tcW w:type="dxa" w:w="2016"/>
            <w:shd w:fill="0F172A"/>
            <w:tcMar>
              <w:top w:w="70" w:type="dxa"/>
              <w:bottom w:w="70" w:type="dxa"/>
              <w:left w:w="90" w:type="dxa"/>
              <w:right w:w="90" w:type="dxa"/>
            </w:tcMar>
          </w:tcPr>
          <w:p>
            <w:pPr>
              <w:spacing w:before="0" w:after="0"/>
              <w:jc w:val="left"/>
            </w:pPr>
            <w:r>
              <w:rPr>
                <w:rFonts w:ascii="Calibri" w:hAnsi="Calibri"/>
                <w:b/>
                <w:color w:val="FFFFFF"/>
                <w:sz w:val="15"/>
              </w:rPr>
              <w:t>Seating Topology</w:t>
            </w:r>
          </w:p>
        </w:tc>
        <w:tc>
          <w:tcPr>
            <w:tcW w:type="dxa" w:w="1872"/>
            <w:shd w:fill="0F172A"/>
            <w:tcMar>
              <w:top w:w="70" w:type="dxa"/>
              <w:bottom w:w="70" w:type="dxa"/>
              <w:left w:w="90" w:type="dxa"/>
              <w:right w:w="90" w:type="dxa"/>
            </w:tcMar>
          </w:tcPr>
          <w:p>
            <w:pPr>
              <w:spacing w:before="0" w:after="0"/>
              <w:jc w:val="left"/>
            </w:pPr>
            <w:r>
              <w:rPr>
                <w:rFonts w:ascii="Calibri" w:hAnsi="Calibri"/>
                <w:b/>
                <w:color w:val="FFFFFF"/>
                <w:sz w:val="15"/>
              </w:rPr>
              <w:t>Capacity Model</w:t>
            </w:r>
          </w:p>
        </w:tc>
        <w:tc>
          <w:tcPr>
            <w:tcW w:type="dxa" w:w="2016"/>
            <w:shd w:fill="0F172A"/>
            <w:tcMar>
              <w:top w:w="70" w:type="dxa"/>
              <w:bottom w:w="70" w:type="dxa"/>
              <w:left w:w="90" w:type="dxa"/>
              <w:right w:w="90" w:type="dxa"/>
            </w:tcMar>
          </w:tcPr>
          <w:p>
            <w:pPr>
              <w:spacing w:before="0" w:after="0"/>
              <w:jc w:val="left"/>
            </w:pPr>
            <w:r>
              <w:rPr>
                <w:rFonts w:ascii="Calibri" w:hAnsi="Calibri"/>
                <w:b/>
                <w:color w:val="FFFFFF"/>
                <w:sz w:val="15"/>
              </w:rPr>
              <w:t>Seat Identifier</w:t>
            </w:r>
          </w:p>
        </w:tc>
        <w:tc>
          <w:tcPr>
            <w:tcW w:type="dxa" w:w="2592"/>
            <w:shd w:fill="0F172A"/>
            <w:tcMar>
              <w:top w:w="70" w:type="dxa"/>
              <w:bottom w:w="70" w:type="dxa"/>
              <w:left w:w="90" w:type="dxa"/>
              <w:right w:w="90" w:type="dxa"/>
            </w:tcMar>
          </w:tcPr>
          <w:p>
            <w:pPr>
              <w:spacing w:before="0" w:after="0"/>
              <w:jc w:val="left"/>
            </w:pPr>
            <w:r>
              <w:rPr>
                <w:rFonts w:ascii="Calibri" w:hAnsi="Calibri"/>
                <w:b/>
                <w:color w:val="FFFFFF"/>
                <w:sz w:val="15"/>
              </w:rPr>
              <w:t>Visual Rendering Engine</w:t>
            </w:r>
          </w:p>
        </w:tc>
      </w:tr>
      <w:tr>
        <w:tc>
          <w:tcPr>
            <w:tcW w:type="dxa" w:w="1584"/>
            <w:shd w:fill="FFFFFF"/>
            <w:tcMar>
              <w:top w:w="50" w:type="dxa"/>
              <w:bottom w:w="50" w:type="dxa"/>
              <w:left w:w="90" w:type="dxa"/>
              <w:right w:w="90" w:type="dxa"/>
            </w:tcMar>
          </w:tcPr>
          <w:p>
            <w:pPr>
              <w:spacing w:before="0" w:after="0"/>
              <w:jc w:val="left"/>
            </w:pPr>
            <w:r>
              <w:rPr>
                <w:rFonts w:ascii="Calibri" w:hAnsi="Calibri"/>
                <w:b/>
                <w:color w:val="334155"/>
                <w:sz w:val="14"/>
              </w:rPr>
              <w:t>Concert</w:t>
            </w:r>
          </w:p>
        </w:tc>
        <w:tc>
          <w:tcPr>
            <w:tcW w:type="dxa" w:w="2016"/>
            <w:shd w:fill="FFFFFF"/>
            <w:tcMar>
              <w:top w:w="50" w:type="dxa"/>
              <w:bottom w:w="50" w:type="dxa"/>
              <w:left w:w="90" w:type="dxa"/>
              <w:right w:w="90" w:type="dxa"/>
            </w:tcMar>
          </w:tcPr>
          <w:p>
            <w:pPr>
              <w:spacing w:before="0" w:after="0"/>
              <w:jc w:val="left"/>
            </w:pPr>
            <w:r>
              <w:rPr>
                <w:rFonts w:ascii="Calibri" w:hAnsi="Calibri"/>
                <w:color w:val="334155"/>
                <w:sz w:val="14"/>
              </w:rPr>
              <w:t>General Admission Floor</w:t>
            </w:r>
          </w:p>
        </w:tc>
        <w:tc>
          <w:tcPr>
            <w:tcW w:type="dxa" w:w="1872"/>
            <w:shd w:fill="FFFFFF"/>
            <w:tcMar>
              <w:top w:w="50" w:type="dxa"/>
              <w:bottom w:w="50" w:type="dxa"/>
              <w:left w:w="90" w:type="dxa"/>
              <w:right w:w="90" w:type="dxa"/>
            </w:tcMar>
          </w:tcPr>
          <w:p>
            <w:pPr>
              <w:spacing w:before="0" w:after="0"/>
              <w:jc w:val="left"/>
            </w:pPr>
            <w:r>
              <w:rPr>
                <w:rFonts w:ascii="Calibri" w:hAnsi="Calibri"/>
                <w:color w:val="334155"/>
                <w:sz w:val="14"/>
              </w:rPr>
              <w:t>Standing Capacity Counter</w:t>
            </w:r>
          </w:p>
        </w:tc>
        <w:tc>
          <w:tcPr>
            <w:tcW w:type="dxa" w:w="2016"/>
            <w:shd w:fill="FFFFFF"/>
            <w:tcMar>
              <w:top w:w="50" w:type="dxa"/>
              <w:bottom w:w="50" w:type="dxa"/>
              <w:left w:w="90" w:type="dxa"/>
              <w:right w:w="90" w:type="dxa"/>
            </w:tcMar>
          </w:tcPr>
          <w:p>
            <w:pPr>
              <w:spacing w:before="0" w:after="0"/>
              <w:jc w:val="left"/>
            </w:pPr>
            <w:r>
              <w:rPr>
                <w:rFonts w:ascii="Calibri" w:hAnsi="Calibri"/>
                <w:color w:val="334155"/>
                <w:sz w:val="14"/>
              </w:rPr>
              <w:t>GA Standing #N</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4"/>
              </w:rPr>
              <w:t>Interactive stepper with real-time subtotal calculator.</w:t>
            </w:r>
          </w:p>
        </w:tc>
      </w:tr>
      <w:tr>
        <w:tc>
          <w:tcPr>
            <w:tcW w:type="dxa" w:w="1584"/>
            <w:shd w:fill="F8FAFC"/>
            <w:tcMar>
              <w:top w:w="50" w:type="dxa"/>
              <w:bottom w:w="50" w:type="dxa"/>
              <w:left w:w="90" w:type="dxa"/>
              <w:right w:w="90" w:type="dxa"/>
            </w:tcMar>
          </w:tcPr>
          <w:p>
            <w:pPr>
              <w:spacing w:before="0" w:after="0"/>
              <w:jc w:val="left"/>
            </w:pPr>
            <w:r>
              <w:rPr>
                <w:rFonts w:ascii="Calibri" w:hAnsi="Calibri"/>
                <w:b/>
                <w:color w:val="334155"/>
                <w:sz w:val="14"/>
              </w:rPr>
              <w:t>Theater</w:t>
            </w:r>
          </w:p>
        </w:tc>
        <w:tc>
          <w:tcPr>
            <w:tcW w:type="dxa" w:w="2016"/>
            <w:shd w:fill="F8FAFC"/>
            <w:tcMar>
              <w:top w:w="50" w:type="dxa"/>
              <w:bottom w:w="50" w:type="dxa"/>
              <w:left w:w="90" w:type="dxa"/>
              <w:right w:w="90" w:type="dxa"/>
            </w:tcMar>
          </w:tcPr>
          <w:p>
            <w:pPr>
              <w:spacing w:before="0" w:after="0"/>
              <w:jc w:val="left"/>
            </w:pPr>
            <w:r>
              <w:rPr>
                <w:rFonts w:ascii="Calibri" w:hAnsi="Calibri"/>
                <w:color w:val="334155"/>
                <w:sz w:val="14"/>
              </w:rPr>
              <w:t>Raked Auditorium</w:t>
            </w:r>
          </w:p>
        </w:tc>
        <w:tc>
          <w:tcPr>
            <w:tcW w:type="dxa" w:w="1872"/>
            <w:shd w:fill="F8FAFC"/>
            <w:tcMar>
              <w:top w:w="50" w:type="dxa"/>
              <w:bottom w:w="50" w:type="dxa"/>
              <w:left w:w="90" w:type="dxa"/>
              <w:right w:w="90" w:type="dxa"/>
            </w:tcMar>
          </w:tcPr>
          <w:p>
            <w:pPr>
              <w:spacing w:before="0" w:after="0"/>
              <w:jc w:val="left"/>
            </w:pPr>
            <w:r>
              <w:rPr>
                <w:rFonts w:ascii="Calibri" w:hAnsi="Calibri"/>
                <w:color w:val="334155"/>
                <w:sz w:val="14"/>
              </w:rPr>
              <w:t>Fixed Grid (Rows A-D)</w:t>
            </w:r>
          </w:p>
        </w:tc>
        <w:tc>
          <w:tcPr>
            <w:tcW w:type="dxa" w:w="2016"/>
            <w:shd w:fill="F8FAFC"/>
            <w:tcMar>
              <w:top w:w="50" w:type="dxa"/>
              <w:bottom w:w="50" w:type="dxa"/>
              <w:left w:w="90" w:type="dxa"/>
              <w:right w:w="90" w:type="dxa"/>
            </w:tcMar>
          </w:tcPr>
          <w:p>
            <w:pPr>
              <w:spacing w:before="0" w:after="0"/>
              <w:jc w:val="left"/>
            </w:pPr>
            <w:r>
              <w:rPr>
                <w:rFonts w:ascii="Calibri" w:hAnsi="Calibri"/>
                <w:color w:val="334155"/>
                <w:sz w:val="14"/>
              </w:rPr>
              <w:t>Row [A-D] · Seat [1-12]</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4"/>
              </w:rPr>
              <w:t>Curved stage projection with staggered rows &amp; center aisle.</w:t>
            </w:r>
          </w:p>
        </w:tc>
      </w:tr>
      <w:tr>
        <w:tc>
          <w:tcPr>
            <w:tcW w:type="dxa" w:w="1584"/>
            <w:shd w:fill="FFFFFF"/>
            <w:tcMar>
              <w:top w:w="50" w:type="dxa"/>
              <w:bottom w:w="50" w:type="dxa"/>
              <w:left w:w="90" w:type="dxa"/>
              <w:right w:w="90" w:type="dxa"/>
            </w:tcMar>
          </w:tcPr>
          <w:p>
            <w:pPr>
              <w:spacing w:before="0" w:after="0"/>
              <w:jc w:val="left"/>
            </w:pPr>
            <w:r>
              <w:rPr>
                <w:rFonts w:ascii="Calibri" w:hAnsi="Calibri"/>
                <w:b/>
                <w:color w:val="334155"/>
                <w:sz w:val="14"/>
              </w:rPr>
              <w:t>Sport</w:t>
            </w:r>
          </w:p>
        </w:tc>
        <w:tc>
          <w:tcPr>
            <w:tcW w:type="dxa" w:w="2016"/>
            <w:shd w:fill="FFFFFF"/>
            <w:tcMar>
              <w:top w:w="50" w:type="dxa"/>
              <w:bottom w:w="50" w:type="dxa"/>
              <w:left w:w="90" w:type="dxa"/>
              <w:right w:w="90" w:type="dxa"/>
            </w:tcMar>
          </w:tcPr>
          <w:p>
            <w:pPr>
              <w:spacing w:before="0" w:after="0"/>
              <w:jc w:val="left"/>
            </w:pPr>
            <w:r>
              <w:rPr>
                <w:rFonts w:ascii="Calibri" w:hAnsi="Calibri"/>
                <w:color w:val="334155"/>
                <w:sz w:val="14"/>
              </w:rPr>
              <w:t>3D Stadium Bowl</w:t>
            </w:r>
          </w:p>
        </w:tc>
        <w:tc>
          <w:tcPr>
            <w:tcW w:type="dxa" w:w="1872"/>
            <w:shd w:fill="FFFFFF"/>
            <w:tcMar>
              <w:top w:w="50" w:type="dxa"/>
              <w:bottom w:w="50" w:type="dxa"/>
              <w:left w:w="90" w:type="dxa"/>
              <w:right w:w="90" w:type="dxa"/>
            </w:tcMar>
          </w:tcPr>
          <w:p>
            <w:pPr>
              <w:spacing w:before="0" w:after="0"/>
              <w:jc w:val="left"/>
            </w:pPr>
            <w:r>
              <w:rPr>
                <w:rFonts w:ascii="Calibri" w:hAnsi="Calibri"/>
                <w:color w:val="334155"/>
                <w:sz w:val="14"/>
              </w:rPr>
              <w:t>Tiered Angled Wedges</w:t>
            </w:r>
          </w:p>
        </w:tc>
        <w:tc>
          <w:tcPr>
            <w:tcW w:type="dxa" w:w="2016"/>
            <w:shd w:fill="FFFFFF"/>
            <w:tcMar>
              <w:top w:w="50" w:type="dxa"/>
              <w:bottom w:w="50" w:type="dxa"/>
              <w:left w:w="90" w:type="dxa"/>
              <w:right w:w="90" w:type="dxa"/>
            </w:tcMar>
          </w:tcPr>
          <w:p>
            <w:pPr>
              <w:spacing w:before="0" w:after="0"/>
              <w:jc w:val="left"/>
            </w:pPr>
            <w:r>
              <w:rPr>
                <w:rFonts w:ascii="Calibri" w:hAnsi="Calibri"/>
                <w:color w:val="334155"/>
                <w:sz w:val="14"/>
              </w:rPr>
              <w:t>Sec [A-C] · Seat [1-12]</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4"/>
              </w:rPr>
              <w:t>3D perspective stadium bowl with rotate &amp; pan angle controls.</w:t>
            </w:r>
          </w:p>
        </w:tc>
      </w:tr>
    </w:tbl>
    <w:p>
      <w:r>
        <w:br w:type="page"/>
      </w:r>
    </w:p>
    <w:p>
      <w:pPr>
        <w:keepNext/>
        <w:spacing w:before="160" w:after="60"/>
        <w:pBdr>
          <w:bottom w:val="single" w:sz="6" w:space="2" w:color="2563EB"/>
        </w:pBdr>
      </w:pPr>
      <w:r>
        <w:rPr>
          <w:rFonts w:ascii="Calibri" w:hAnsi="Calibri"/>
          <w:b/>
          <w:color w:val="0F172A"/>
          <w:sz w:val="28"/>
        </w:rPr>
        <w:t>6. Algorithmic Dynamic Pricing &amp; Promotional Offers</w:t>
      </w:r>
    </w:p>
    <w:p>
      <w:pPr>
        <w:spacing w:before="0" w:after="60" w:line="269" w:lineRule="auto"/>
      </w:pPr>
      <w:r>
        <w:rPr>
          <w:rFonts w:ascii="Calibri" w:hAnsi="Calibri"/>
          <w:b/>
          <w:color w:val="0F172A"/>
          <w:sz w:val="19"/>
        </w:rPr>
        <w:t xml:space="preserve">Pricing Model Overview: </w:t>
      </w:r>
      <w:r>
        <w:rPr>
          <w:rFonts w:ascii="Calibri" w:hAnsi="Calibri"/>
          <w:color w:val="334155"/>
          <w:sz w:val="18"/>
        </w:rPr>
        <w:t>The AuraPass dynamic pricing engine mathematically maximizes venue revenue by calculating demand surge adjustments based on two drivers: Capacity Scarcity and Time Urgency, combined with organizer promotional controls:</w:t>
      </w:r>
    </w:p>
    <w:tbl>
      <w:tblPr>
        <w:tblW w:type="auto" w:w="0"/>
        <w:jc w:val="center"/>
        <w:tblLayout w:type="fixed"/>
        <w:tblLook w:firstColumn="1" w:firstRow="1" w:lastColumn="0" w:lastRow="0" w:noHBand="0" w:noVBand="1" w:val="04A0"/>
      </w:tblPr>
      <w:tblGrid>
        <w:gridCol w:w="10080"/>
      </w:tblGrid>
      <w:tr>
        <w:tc>
          <w:tcPr>
            <w:tcW w:type="dxa" w:w="10080"/>
            <w:shd w:fill="EFF6FF"/>
            <w:tcMar>
              <w:top w:w="100" w:type="dxa"/>
              <w:bottom w:w="100" w:type="dxa"/>
              <w:left w:w="150" w:type="dxa"/>
              <w:right w:w="140" w:type="dxa"/>
            </w:tcMar>
            <w:tcBorders>
              <w:left w:val="single" w:sz="24" w:space="0" w:color="2563EB"/>
              <w:top w:val="none"/>
              <w:right w:val="none"/>
              <w:bottom w:val="none"/>
            </w:tcBorders>
          </w:tcPr>
          <w:p>
            <w:pPr>
              <w:spacing w:before="20" w:after="40" w:line="264" w:lineRule="auto"/>
            </w:pPr>
            <w:r>
              <w:rPr>
                <w:rFonts w:ascii="Calibri" w:hAnsi="Calibri"/>
                <w:b/>
                <w:color w:val="2563EB"/>
                <w:sz w:val="19"/>
              </w:rPr>
              <w:t>📌 Mathematical Formulation of Ticket Pricing with Promotional Offers</w:t>
              <w:br/>
            </w:r>
            <w:r>
              <w:rPr>
                <w:rFonts w:ascii="Calibri" w:hAnsi="Calibri"/>
                <w:color w:val="334155"/>
                <w:sz w:val="17"/>
              </w:rPr>
              <w:t>1. Dynamic Surge Calculation:</w:t>
              <w:br/>
              <w:t xml:space="preserve">   Surge Price = Base Price × (1 + Hike% / 100)</w:t>
              <w:br/>
              <w:br/>
              <w:t xml:space="preserve">   • Base Tier (&lt; 50% Sold): Hike = 0.0% (Standard Base Rate)</w:t>
              <w:br/>
              <w:t xml:space="preserve">   • Tier 1 Demand (50% to 89% Sold): Hike = 20.0% + (Urgency Factor × 15.0%)  =&gt;  [+20% to +35%]</w:t>
              <w:br/>
              <w:t xml:space="preserve">   • Tier 2 Peak Surge (90%+ Sold): Hike = 50.0% + (Urgency Factor × 40.0%)  =&gt;  [+50% to +90%]</w:t>
              <w:br/>
              <w:br/>
              <w:t xml:space="preserve">   Urgency Factor = 1.0 - (Time Remaining / Total Event Duration)  [0.0 at launch to 1.0 at start]</w:t>
              <w:br/>
              <w:br/>
              <w:t>2. Post-Hosting Organizer Offer Application:</w:t>
              <w:br/>
              <w:t xml:space="preserve">   Final Unit Price = max(Surge Price × [1 - (Offer% / 100)], $1.00)</w:t>
              <w:br/>
              <w:br/>
              <w:t>3. Bulk Order Incentive:</w:t>
              <w:br/>
              <w:t xml:space="preserve">   Orders exceeding 2 tickets receive an automated 5% discount on every additional ticket (Tickets 3, 4, 5...).</w:t>
            </w:r>
          </w:p>
        </w:tc>
      </w:tr>
    </w:tbl>
    <w:p>
      <w:pPr>
        <w:spacing w:before="80" w:after="20"/>
        <w:jc w:val="center"/>
      </w:pPr>
      <w:r>
        <w:drawing>
          <wp:inline xmlns:a="http://schemas.openxmlformats.org/drawingml/2006/main" xmlns:pic="http://schemas.openxmlformats.org/drawingml/2006/picture">
            <wp:extent cx="4206240" cy="2468433"/>
            <wp:docPr id="4" name="Picture 4"/>
            <wp:cNvGraphicFramePr>
              <a:graphicFrameLocks noChangeAspect="1"/>
            </wp:cNvGraphicFramePr>
            <a:graphic>
              <a:graphicData uri="http://schemas.openxmlformats.org/drawingml/2006/picture">
                <pic:pic>
                  <pic:nvPicPr>
                    <pic:cNvPr id="0" name="fig3_dynamic_pricing_curve.png"/>
                    <pic:cNvPicPr/>
                  </pic:nvPicPr>
                  <pic:blipFill>
                    <a:blip r:embed="rId14"/>
                    <a:stretch>
                      <a:fillRect/>
                    </a:stretch>
                  </pic:blipFill>
                  <pic:spPr>
                    <a:xfrm>
                      <a:off x="0" y="0"/>
                      <a:ext cx="4206240" cy="2468433"/>
                    </a:xfrm>
                    <a:prstGeom prst="rect"/>
                  </pic:spPr>
                </pic:pic>
              </a:graphicData>
            </a:graphic>
          </wp:inline>
        </w:drawing>
      </w:r>
    </w:p>
    <w:p>
      <w:pPr>
        <w:spacing w:before="20" w:after="80"/>
        <w:jc w:val="center"/>
      </w:pPr>
      <w:r>
        <w:rPr>
          <w:rFonts w:ascii="Calibri" w:hAnsi="Calibri"/>
          <w:b/>
          <w:color w:val="2563EB"/>
          <w:sz w:val="17"/>
        </w:rPr>
        <w:t xml:space="preserve">Figure 4: </w:t>
      </w:r>
      <w:r>
        <w:rPr>
          <w:rFonts w:ascii="Calibri" w:hAnsi="Calibri"/>
          <w:i/>
          <w:color w:val="64748B"/>
          <w:sz w:val="17"/>
        </w:rPr>
        <w:t>AuraPass Dynamic Pricing Surge Curves Across Capacity Milestones and Urgency States</w:t>
      </w:r>
    </w:p>
    <w:p>
      <w:pPr>
        <w:keepNext/>
        <w:spacing w:before="120" w:after="40"/>
      </w:pPr>
      <w:r>
        <w:rPr>
          <w:rFonts w:ascii="Calibri" w:hAnsi="Calibri"/>
          <w:b/>
          <w:color w:val="1E40AF"/>
          <w:sz w:val="22"/>
        </w:rPr>
        <w:t>6.1 Post-Hosting Organizer Pricing Control &amp; Offers</w:t>
      </w:r>
    </w:p>
    <w:p>
      <w:pPr>
        <w:spacing w:before="0" w:after="60" w:line="269" w:lineRule="auto"/>
      </w:pPr>
      <w:r>
        <w:rPr>
          <w:rFonts w:ascii="Calibri" w:hAnsi="Calibri"/>
          <w:b/>
          <w:color w:val="0F172A"/>
          <w:sz w:val="19"/>
        </w:rPr>
        <w:t xml:space="preserve">Organizer Pricing Autonomy: </w:t>
      </w:r>
      <w:r>
        <w:rPr>
          <w:rFonts w:ascii="Calibri" w:hAnsi="Calibri"/>
          <w:color w:val="334155"/>
          <w:sz w:val="18"/>
        </w:rPr>
        <w:t>Organizers can modify base ticket rates and apply promotional offers (e.g. 5%, 10%, 15%, 20%, 25% off) at any time even after an event is hosted via PATCH /api/events/{id}/pricing. The Organizer Dashboard provides a liquid-glass controller with preset discount pills, a custom percentage slider (0-90%), and a live preview calculating base price, dynamic surge, offer deduction, and final attendee checkout rate.</w:t>
      </w:r>
    </w:p>
    <w:p>
      <w:r>
        <w:br w:type="page"/>
      </w:r>
    </w:p>
    <w:p>
      <w:pPr>
        <w:keepNext/>
        <w:spacing w:before="160" w:after="60"/>
        <w:pBdr>
          <w:bottom w:val="single" w:sz="6" w:space="2" w:color="2563EB"/>
        </w:pBdr>
      </w:pPr>
      <w:r>
        <w:rPr>
          <w:rFonts w:ascii="Calibri" w:hAnsi="Calibri"/>
          <w:b/>
          <w:color w:val="0F172A"/>
          <w:sz w:val="28"/>
        </w:rPr>
        <w:t>7. Administrative Telemetry &amp; Server Diagnostics</w:t>
      </w:r>
    </w:p>
    <w:p>
      <w:pPr>
        <w:spacing w:before="0" w:after="60" w:line="269" w:lineRule="auto"/>
      </w:pPr>
      <w:r>
        <w:rPr>
          <w:rFonts w:ascii="Calibri" w:hAnsi="Calibri"/>
          <w:b/>
          <w:color w:val="0F172A"/>
          <w:sz w:val="19"/>
        </w:rPr>
        <w:t xml:space="preserve">Telemetry Architecture: </w:t>
      </w:r>
      <w:r>
        <w:rPr>
          <w:rFonts w:ascii="Calibri" w:hAnsi="Calibri"/>
          <w:color w:val="334155"/>
          <w:sz w:val="18"/>
        </w:rPr>
        <w:t>AuraPass embeds native, non-invasive runtime telemetry diagnostic probes directly inside the application gateway, avoiding the CPU and memory footprint of heavy external monitoring agents. Probes execute asynchronously and expose real-time hardware telemetry via GET /api/admin/server-health.</w:t>
      </w:r>
    </w:p>
    <w:p>
      <w:pPr>
        <w:spacing w:before="80" w:after="20"/>
        <w:jc w:val="center"/>
      </w:pPr>
      <w:r>
        <w:drawing>
          <wp:inline xmlns:a="http://schemas.openxmlformats.org/drawingml/2006/main" xmlns:pic="http://schemas.openxmlformats.org/drawingml/2006/picture">
            <wp:extent cx="4297680" cy="2602190"/>
            <wp:docPr id="5" name="Picture 5"/>
            <wp:cNvGraphicFramePr>
              <a:graphicFrameLocks noChangeAspect="1"/>
            </wp:cNvGraphicFramePr>
            <a:graphic>
              <a:graphicData uri="http://schemas.openxmlformats.org/drawingml/2006/picture">
                <pic:pic>
                  <pic:nvPicPr>
                    <pic:cNvPr id="0" name="fig5_telemetry_architecture.png"/>
                    <pic:cNvPicPr/>
                  </pic:nvPicPr>
                  <pic:blipFill>
                    <a:blip r:embed="rId15"/>
                    <a:stretch>
                      <a:fillRect/>
                    </a:stretch>
                  </pic:blipFill>
                  <pic:spPr>
                    <a:xfrm>
                      <a:off x="0" y="0"/>
                      <a:ext cx="4297680" cy="2602190"/>
                    </a:xfrm>
                    <a:prstGeom prst="rect"/>
                  </pic:spPr>
                </pic:pic>
              </a:graphicData>
            </a:graphic>
          </wp:inline>
        </w:drawing>
      </w:r>
    </w:p>
    <w:p>
      <w:pPr>
        <w:spacing w:before="20" w:after="80"/>
        <w:jc w:val="center"/>
      </w:pPr>
      <w:r>
        <w:rPr>
          <w:rFonts w:ascii="Calibri" w:hAnsi="Calibri"/>
          <w:b/>
          <w:color w:val="2563EB"/>
          <w:sz w:val="17"/>
        </w:rPr>
        <w:t xml:space="preserve">Figure 5: </w:t>
      </w:r>
      <w:r>
        <w:rPr>
          <w:rFonts w:ascii="Calibri" w:hAnsi="Calibri"/>
          <w:i/>
          <w:color w:val="64748B"/>
          <w:sz w:val="17"/>
        </w:rPr>
        <w:t>AuraPass Telemetry Pipeline: Hardware Sensors, SQLite Latency Probes &amp; Health Evaluation</w:t>
      </w:r>
    </w:p>
    <w:p>
      <w:pPr>
        <w:keepNext/>
        <w:spacing w:before="120" w:after="40"/>
      </w:pPr>
      <w:r>
        <w:rPr>
          <w:rFonts w:ascii="Calibri" w:hAnsi="Calibri"/>
          <w:b/>
          <w:color w:val="1E40AF"/>
          <w:sz w:val="22"/>
        </w:rPr>
        <w:t>7.1 Diagnostic Telemetry &amp; Health Assessment Metrics</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2160"/>
            <w:shd w:fill="0F172A"/>
            <w:tcMar>
              <w:top w:w="70" w:type="dxa"/>
              <w:bottom w:w="70" w:type="dxa"/>
              <w:left w:w="90" w:type="dxa"/>
              <w:right w:w="90" w:type="dxa"/>
            </w:tcMar>
          </w:tcPr>
          <w:p>
            <w:pPr>
              <w:spacing w:before="0" w:after="0"/>
              <w:jc w:val="left"/>
            </w:pPr>
            <w:r>
              <w:rPr>
                <w:rFonts w:ascii="Calibri" w:hAnsi="Calibri"/>
                <w:b/>
                <w:color w:val="FFFFFF"/>
                <w:sz w:val="16"/>
              </w:rPr>
              <w:t>Metric Dimension</w:t>
            </w:r>
          </w:p>
        </w:tc>
        <w:tc>
          <w:tcPr>
            <w:tcW w:type="dxa" w:w="2304"/>
            <w:shd w:fill="0F172A"/>
            <w:tcMar>
              <w:top w:w="70" w:type="dxa"/>
              <w:bottom w:w="70" w:type="dxa"/>
              <w:left w:w="90" w:type="dxa"/>
              <w:right w:w="90" w:type="dxa"/>
            </w:tcMar>
          </w:tcPr>
          <w:p>
            <w:pPr>
              <w:spacing w:before="0" w:after="0"/>
              <w:jc w:val="left"/>
            </w:pPr>
            <w:r>
              <w:rPr>
                <w:rFonts w:ascii="Calibri" w:hAnsi="Calibri"/>
                <w:b/>
                <w:color w:val="FFFFFF"/>
                <w:sz w:val="16"/>
              </w:rPr>
              <w:t>Probe Mechanism</w:t>
            </w:r>
          </w:p>
        </w:tc>
        <w:tc>
          <w:tcPr>
            <w:tcW w:type="dxa" w:w="1728"/>
            <w:shd w:fill="0F172A"/>
            <w:tcMar>
              <w:top w:w="70" w:type="dxa"/>
              <w:bottom w:w="70" w:type="dxa"/>
              <w:left w:w="90" w:type="dxa"/>
              <w:right w:w="90" w:type="dxa"/>
            </w:tcMar>
          </w:tcPr>
          <w:p>
            <w:pPr>
              <w:spacing w:before="0" w:after="0"/>
              <w:jc w:val="left"/>
            </w:pPr>
            <w:r>
              <w:rPr>
                <w:rFonts w:ascii="Calibri" w:hAnsi="Calibri"/>
                <w:b/>
                <w:color w:val="FFFFFF"/>
                <w:sz w:val="16"/>
              </w:rPr>
              <w:t>Sampling Frequency</w:t>
            </w:r>
          </w:p>
        </w:tc>
        <w:tc>
          <w:tcPr>
            <w:tcW w:type="dxa" w:w="1728"/>
            <w:shd w:fill="0F172A"/>
            <w:tcMar>
              <w:top w:w="70" w:type="dxa"/>
              <w:bottom w:w="70" w:type="dxa"/>
              <w:left w:w="90" w:type="dxa"/>
              <w:right w:w="90" w:type="dxa"/>
            </w:tcMar>
          </w:tcPr>
          <w:p>
            <w:pPr>
              <w:spacing w:before="0" w:after="0"/>
              <w:jc w:val="left"/>
            </w:pPr>
            <w:r>
              <w:rPr>
                <w:rFonts w:ascii="Calibri" w:hAnsi="Calibri"/>
                <w:b/>
                <w:color w:val="FFFFFF"/>
                <w:sz w:val="16"/>
              </w:rPr>
              <w:t>Normal Range</w:t>
            </w:r>
          </w:p>
        </w:tc>
        <w:tc>
          <w:tcPr>
            <w:tcW w:type="dxa" w:w="2160"/>
            <w:shd w:fill="0F172A"/>
            <w:tcMar>
              <w:top w:w="70" w:type="dxa"/>
              <w:bottom w:w="70" w:type="dxa"/>
              <w:left w:w="90" w:type="dxa"/>
              <w:right w:w="90" w:type="dxa"/>
            </w:tcMar>
          </w:tcPr>
          <w:p>
            <w:pPr>
              <w:spacing w:before="0" w:after="0"/>
              <w:jc w:val="left"/>
            </w:pPr>
            <w:r>
              <w:rPr>
                <w:rFonts w:ascii="Calibri" w:hAnsi="Calibri"/>
                <w:b/>
                <w:color w:val="FFFFFF"/>
                <w:sz w:val="16"/>
              </w:rPr>
              <w:t>Alert / Degraded Threshold</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Database Latency Ping</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time.perf_counter() 'SELECT 1'</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5"/>
              </w:rPr>
              <w:t>On-demand per check</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5"/>
              </w:rPr>
              <w:t>0.05ms - 2.50ms</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&gt; 200.0ms (DB lock contention)</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5"/>
              </w:rPr>
              <w:t>Host CPU Saturation</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5"/>
              </w:rPr>
              <w:t>psutil.cpu_percent(interval=None)</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5"/>
              </w:rPr>
              <w:t>Instantaneous polled</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5"/>
              </w:rPr>
              <w:t>5.0% - 65.0%</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&gt; 90.0% (Compute exhaustion)</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Host RAM Utilization</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psutil.virtual_memory().percent</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5"/>
              </w:rPr>
              <w:t>Instantaneous polled</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5"/>
              </w:rPr>
              <w:t>20.0% - 75.0%</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&gt; 88.0% (Memory pressure)</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5"/>
              </w:rPr>
              <w:t>Process Resident (RSS)</w:t>
            </w:r>
          </w:p>
        </w:tc>
        <w:tc>
          <w:tcPr>
            <w:tcW w:type="dxa" w:w="2304"/>
            <w:shd w:fill="F8FAFC"/>
            <w:tcMar>
              <w:top w:w="50" w:type="dxa"/>
              <w:bottom w:w="50" w:type="dxa"/>
              <w:left w:w="90" w:type="dxa"/>
              <w:right w:w="90" w:type="dxa"/>
            </w:tcMar>
          </w:tcPr>
          <w:p>
            <w:pPr>
              <w:spacing w:before="0" w:after="0"/>
              <w:jc w:val="left"/>
            </w:pPr>
            <w:r>
              <w:rPr>
                <w:rFonts w:ascii="Calibri" w:hAnsi="Calibri"/>
                <w:color w:val="334155"/>
                <w:sz w:val="15"/>
              </w:rPr>
              <w:t>psutil.Process().memory_info().rss</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5"/>
              </w:rPr>
              <w:t>Instantaneous polled</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5"/>
              </w:rPr>
              <w:t>45 MB - 120 MB</w:t>
            </w:r>
          </w:p>
        </w:tc>
        <w:tc>
          <w:tcPr>
            <w:tcW w:type="dxa" w:w="2160"/>
            <w:shd w:fill="F8FAFC"/>
            <w:tcMar>
              <w:top w:w="50" w:type="dxa"/>
              <w:bottom w:w="50" w:type="dxa"/>
              <w:left w:w="90" w:type="dxa"/>
              <w:right w:w="90" w:type="dxa"/>
            </w:tcMar>
          </w:tcPr>
          <w:p>
            <w:pPr>
              <w:spacing w:before="0" w:after="0"/>
              <w:jc w:val="left"/>
            </w:pPr>
            <w:r>
              <w:rPr>
                <w:rFonts w:ascii="Calibri" w:hAnsi="Calibri"/>
                <w:color w:val="334155"/>
                <w:sz w:val="15"/>
              </w:rPr>
              <w:t>&gt; 500 MB (Potential memory leak)</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5"/>
              </w:rPr>
              <w:t>Storage Headroom</w:t>
            </w:r>
          </w:p>
        </w:tc>
        <w:tc>
          <w:tcPr>
            <w:tcW w:type="dxa" w:w="2304"/>
            <w:shd w:fill="FFFFFF"/>
            <w:tcMar>
              <w:top w:w="50" w:type="dxa"/>
              <w:bottom w:w="50" w:type="dxa"/>
              <w:left w:w="90" w:type="dxa"/>
              <w:right w:w="90" w:type="dxa"/>
            </w:tcMar>
          </w:tcPr>
          <w:p>
            <w:pPr>
              <w:spacing w:before="0" w:after="0"/>
              <w:jc w:val="left"/>
            </w:pPr>
            <w:r>
              <w:rPr>
                <w:rFonts w:ascii="Calibri" w:hAnsi="Calibri"/>
                <w:color w:val="334155"/>
                <w:sz w:val="15"/>
              </w:rPr>
              <w:t>shutil.disk_usage('.')</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5"/>
              </w:rPr>
              <w:t>Instantaneous polled</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5"/>
              </w:rPr>
              <w:t>&gt; 20% Free space</w:t>
            </w:r>
          </w:p>
        </w:tc>
        <w:tc>
          <w:tcPr>
            <w:tcW w:type="dxa" w:w="2160"/>
            <w:shd w:fill="FFFFFF"/>
            <w:tcMar>
              <w:top w:w="50" w:type="dxa"/>
              <w:bottom w:w="50" w:type="dxa"/>
              <w:left w:w="90" w:type="dxa"/>
              <w:right w:w="90" w:type="dxa"/>
            </w:tcMar>
          </w:tcPr>
          <w:p>
            <w:pPr>
              <w:spacing w:before="0" w:after="0"/>
              <w:jc w:val="left"/>
            </w:pPr>
            <w:r>
              <w:rPr>
                <w:rFonts w:ascii="Calibri" w:hAnsi="Calibri"/>
                <w:color w:val="334155"/>
                <w:sz w:val="15"/>
              </w:rPr>
              <w:t>&lt; 5% Free space (Disk full)</w:t>
            </w:r>
          </w:p>
        </w:tc>
      </w:tr>
    </w:tbl>
    <w:p>
      <w:pPr>
        <w:spacing w:before="0" w:after="60" w:line="269" w:lineRule="auto"/>
      </w:pPr>
      <w:r>
        <w:rPr>
          <w:rFonts w:ascii="Calibri" w:hAnsi="Calibri"/>
          <w:b/>
          <w:color w:val="0F172A"/>
          <w:sz w:val="19"/>
        </w:rPr>
        <w:t xml:space="preserve">Automated Assessment: </w:t>
      </w:r>
      <w:r>
        <w:rPr>
          <w:rFonts w:ascii="Calibri" w:hAnsi="Calibri"/>
          <w:color w:val="334155"/>
          <w:sz w:val="18"/>
        </w:rPr>
        <w:t>The automated health evaluator categorizes overall operational status as 'healthy' when all parameters remain within normal limits. If any metric crosses its threshold, status transitions to 'degraded', alerting administrators through radial gauges on the Admin Dashboard.</w:t>
      </w:r>
    </w:p>
    <w:p>
      <w:r>
        <w:br w:type="page"/>
      </w:r>
    </w:p>
    <w:p>
      <w:pPr>
        <w:keepNext/>
        <w:spacing w:before="160" w:after="60"/>
        <w:pBdr>
          <w:bottom w:val="single" w:sz="6" w:space="2" w:color="2563EB"/>
        </w:pBdr>
      </w:pPr>
      <w:r>
        <w:rPr>
          <w:rFonts w:ascii="Calibri" w:hAnsi="Calibri"/>
          <w:b/>
          <w:color w:val="0F172A"/>
          <w:sz w:val="28"/>
        </w:rPr>
        <w:t>8. REST API Endpoints Catalog &amp; Operational Use Cases</w:t>
      </w:r>
    </w:p>
    <w:p>
      <w:pPr>
        <w:spacing w:before="0" w:after="60" w:line="269" w:lineRule="auto"/>
      </w:pPr>
      <w:r>
        <w:rPr>
          <w:rFonts w:ascii="Calibri" w:hAnsi="Calibri"/>
          <w:b/>
          <w:color w:val="0F172A"/>
          <w:sz w:val="19"/>
        </w:rPr>
        <w:t xml:space="preserve">API Reference Matrix: </w:t>
      </w:r>
      <w:r>
        <w:rPr>
          <w:rFonts w:ascii="Calibri" w:hAnsi="Calibri"/>
          <w:color w:val="334155"/>
          <w:sz w:val="18"/>
        </w:rPr>
        <w:t>The AuraPass API gateway exposes 18 high-performance RESTful endpoints structured across five functional domains:</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1152"/>
            <w:shd w:fill="0F172A"/>
            <w:tcMar>
              <w:top w:w="70" w:type="dxa"/>
              <w:bottom w:w="70" w:type="dxa"/>
              <w:left w:w="90" w:type="dxa"/>
              <w:right w:w="90" w:type="dxa"/>
            </w:tcMar>
          </w:tcPr>
          <w:p>
            <w:pPr>
              <w:spacing w:before="0" w:after="0"/>
              <w:jc w:val="left"/>
            </w:pPr>
            <w:r>
              <w:rPr>
                <w:rFonts w:ascii="Calibri" w:hAnsi="Calibri"/>
                <w:b/>
                <w:color w:val="FFFFFF"/>
                <w:sz w:val="15"/>
              </w:rPr>
              <w:t>Method</w:t>
            </w:r>
          </w:p>
        </w:tc>
        <w:tc>
          <w:tcPr>
            <w:tcW w:type="dxa" w:w="2880"/>
            <w:shd w:fill="0F172A"/>
            <w:tcMar>
              <w:top w:w="70" w:type="dxa"/>
              <w:bottom w:w="70" w:type="dxa"/>
              <w:left w:w="90" w:type="dxa"/>
              <w:right w:w="90" w:type="dxa"/>
            </w:tcMar>
          </w:tcPr>
          <w:p>
            <w:pPr>
              <w:spacing w:before="0" w:after="0"/>
              <w:jc w:val="left"/>
            </w:pPr>
            <w:r>
              <w:rPr>
                <w:rFonts w:ascii="Calibri" w:hAnsi="Calibri"/>
                <w:b/>
                <w:color w:val="FFFFFF"/>
                <w:sz w:val="15"/>
              </w:rPr>
              <w:t>Endpoint Route</w:t>
            </w:r>
          </w:p>
        </w:tc>
        <w:tc>
          <w:tcPr>
            <w:tcW w:type="dxa" w:w="1728"/>
            <w:shd w:fill="0F172A"/>
            <w:tcMar>
              <w:top w:w="70" w:type="dxa"/>
              <w:bottom w:w="70" w:type="dxa"/>
              <w:left w:w="90" w:type="dxa"/>
              <w:right w:w="90" w:type="dxa"/>
            </w:tcMar>
          </w:tcPr>
          <w:p>
            <w:pPr>
              <w:spacing w:before="0" w:after="0"/>
              <w:jc w:val="left"/>
            </w:pPr>
            <w:r>
              <w:rPr>
                <w:rFonts w:ascii="Calibri" w:hAnsi="Calibri"/>
                <w:b/>
                <w:color w:val="FFFFFF"/>
                <w:sz w:val="15"/>
              </w:rPr>
              <w:t>Auth Level</w:t>
            </w:r>
          </w:p>
        </w:tc>
        <w:tc>
          <w:tcPr>
            <w:tcW w:type="dxa" w:w="4320"/>
            <w:shd w:fill="0F172A"/>
            <w:tcMar>
              <w:top w:w="70" w:type="dxa"/>
              <w:bottom w:w="70" w:type="dxa"/>
              <w:left w:w="90" w:type="dxa"/>
              <w:right w:w="90" w:type="dxa"/>
            </w:tcMar>
          </w:tcPr>
          <w:p>
            <w:pPr>
              <w:spacing w:before="0" w:after="0"/>
              <w:jc w:val="left"/>
            </w:pPr>
            <w:r>
              <w:rPr>
                <w:rFonts w:ascii="Calibri" w:hAnsi="Calibri"/>
                <w:b/>
                <w:color w:val="FFFFFF"/>
                <w:sz w:val="15"/>
              </w:rPr>
              <w:t>Primary Operational Purpose &amp; Use Case</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POST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/api/auth/register</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Public</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Registers new buyer or organizer account; blocks admin creation; sets session cookie.</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POST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/api/auth/login</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Public</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Authenticates credentials; issues HTTP-only JWT; returns user role redirect.</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POST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/api/auth/logout</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Authenticated</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Invalidates user session by clearing HTTP-only access_token cookie.</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/api/auth/me</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Authenticated</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Returns authenticated user profile, permissions, and role designation.</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/api/events</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Public</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Marketplace catalog queryable by genre/search; enriched with dynamic prices &amp; offers.</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/api/events/{id}</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Public</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Fetches single event listing with full venue details and current dynamic pricing status.</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/api/events/{id}/seats</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Public</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Returns capacity, taken seat coordinates, base rate, surge price, and active offers.</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POST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/api/events</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Organizer / Admin</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Publishes a new event listing with custom capacity, venue, base price, and showtime.</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PATCH</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/api/events/{id}/pricing</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Organizer / Admin</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Modifies base price or applies promotional offers (e.g. 10% off) post-hosting.</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POST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/api/tickets/buy</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Authenticated</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Atomic checkout: validates seat collisions, mints passes, decrements inventory.</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/api/tickets/my-tickets</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Authenticated</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Attendee digital ticket wallet rendering authentic admission passes with gate doors.</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/api/organizer/dashboard</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Organizer / Admin</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Organizer portfolio analytics: active stages, occupancy %, revenue, sales feed.</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/api/admin/analytics</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Admin Only</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Executive KPIs: gross revenue, total tickets issued, active events breakdown.</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/api/admin/server-health</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Admin Only</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Live hardware diagnostics: CPU%, RAM%, disk headroom, SQLite ping latency.</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/api/admin/users</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Admin Only</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Platform-wide user directory with role filtering, spend, and hosted event tallies.</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/api/admin/buyers</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Admin Only</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Attendee directory detailing total purchases, spend aggregations, and ticket logs.</w:t>
            </w:r>
          </w:p>
        </w:tc>
      </w:tr>
      <w:tr>
        <w:tc>
          <w:tcPr>
            <w:tcW w:type="dxa" w:w="1152"/>
            <w:shd w:fill="FFFFFF"/>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FFFFF"/>
            <w:tcMar>
              <w:top w:w="50" w:type="dxa"/>
              <w:bottom w:w="50" w:type="dxa"/>
              <w:left w:w="90" w:type="dxa"/>
              <w:right w:w="90" w:type="dxa"/>
            </w:tcMar>
          </w:tcPr>
          <w:p>
            <w:pPr>
              <w:spacing w:before="0" w:after="0"/>
              <w:jc w:val="left"/>
            </w:pPr>
            <w:r>
              <w:rPr>
                <w:rFonts w:ascii="Calibri" w:hAnsi="Calibri"/>
                <w:color w:val="334155"/>
                <w:sz w:val="14"/>
              </w:rPr>
              <w:t>/api/admin/buyers/{id}/tickets</w:t>
            </w:r>
          </w:p>
        </w:tc>
        <w:tc>
          <w:tcPr>
            <w:tcW w:type="dxa" w:w="1728"/>
            <w:shd w:fill="FFFFFF"/>
            <w:tcMar>
              <w:top w:w="50" w:type="dxa"/>
              <w:bottom w:w="50" w:type="dxa"/>
              <w:left w:w="90" w:type="dxa"/>
              <w:right w:w="90" w:type="dxa"/>
            </w:tcMar>
          </w:tcPr>
          <w:p>
            <w:pPr>
              <w:spacing w:before="0" w:after="0"/>
              <w:jc w:val="left"/>
            </w:pPr>
            <w:r>
              <w:rPr>
                <w:rFonts w:ascii="Calibri" w:hAnsi="Calibri"/>
                <w:color w:val="334155"/>
                <w:sz w:val="14"/>
              </w:rPr>
              <w:t>Admin Only</w:t>
            </w:r>
          </w:p>
        </w:tc>
        <w:tc>
          <w:tcPr>
            <w:tcW w:type="dxa" w:w="4320"/>
            <w:shd w:fill="FFFFFF"/>
            <w:tcMar>
              <w:top w:w="50" w:type="dxa"/>
              <w:bottom w:w="50" w:type="dxa"/>
              <w:left w:w="90" w:type="dxa"/>
              <w:right w:w="90" w:type="dxa"/>
            </w:tcMar>
          </w:tcPr>
          <w:p>
            <w:pPr>
              <w:spacing w:before="0" w:after="0"/>
              <w:jc w:val="left"/>
            </w:pPr>
            <w:r>
              <w:rPr>
                <w:rFonts w:ascii="Calibri" w:hAnsi="Calibri"/>
                <w:color w:val="334155"/>
                <w:sz w:val="14"/>
              </w:rPr>
              <w:t>Itemized ticket passes purchased by a specific attendee with transaction codes.</w:t>
            </w:r>
          </w:p>
        </w:tc>
      </w:tr>
      <w:tr>
        <w:tc>
          <w:tcPr>
            <w:tcW w:type="dxa" w:w="1152"/>
            <w:shd w:fill="F8FAFC"/>
            <w:tcMar>
              <w:top w:w="50" w:type="dxa"/>
              <w:bottom w:w="50" w:type="dxa"/>
              <w:left w:w="90" w:type="dxa"/>
              <w:right w:w="90" w:type="dxa"/>
            </w:tcMar>
          </w:tcPr>
          <w:p>
            <w:pPr>
              <w:spacing w:before="0" w:after="0"/>
              <w:jc w:val="left"/>
            </w:pPr>
            <w:r>
              <w:rPr>
                <w:rFonts w:ascii="Calibri" w:hAnsi="Calibri"/>
                <w:b/>
                <w:color w:val="334155"/>
                <w:sz w:val="14"/>
              </w:rPr>
              <w:t>GET</w:t>
            </w:r>
          </w:p>
        </w:tc>
        <w:tc>
          <w:tcPr>
            <w:tcW w:type="dxa" w:w="2880"/>
            <w:shd w:fill="F8FAFC"/>
            <w:tcMar>
              <w:top w:w="50" w:type="dxa"/>
              <w:bottom w:w="50" w:type="dxa"/>
              <w:left w:w="90" w:type="dxa"/>
              <w:right w:w="90" w:type="dxa"/>
            </w:tcMar>
          </w:tcPr>
          <w:p>
            <w:pPr>
              <w:spacing w:before="0" w:after="0"/>
              <w:jc w:val="left"/>
            </w:pPr>
            <w:r>
              <w:rPr>
                <w:rFonts w:ascii="Calibri" w:hAnsi="Calibri"/>
                <w:color w:val="334155"/>
                <w:sz w:val="14"/>
              </w:rPr>
              <w:t>/api/admin/organizers</w:t>
            </w:r>
          </w:p>
        </w:tc>
        <w:tc>
          <w:tcPr>
            <w:tcW w:type="dxa" w:w="1728"/>
            <w:shd w:fill="F8FAFC"/>
            <w:tcMar>
              <w:top w:w="50" w:type="dxa"/>
              <w:bottom w:w="50" w:type="dxa"/>
              <w:left w:w="90" w:type="dxa"/>
              <w:right w:w="90" w:type="dxa"/>
            </w:tcMar>
          </w:tcPr>
          <w:p>
            <w:pPr>
              <w:spacing w:before="0" w:after="0"/>
              <w:jc w:val="left"/>
            </w:pPr>
            <w:r>
              <w:rPr>
                <w:rFonts w:ascii="Calibri" w:hAnsi="Calibri"/>
                <w:color w:val="334155"/>
                <w:sz w:val="14"/>
              </w:rPr>
              <w:t>Admin Only</w:t>
            </w:r>
          </w:p>
        </w:tc>
        <w:tc>
          <w:tcPr>
            <w:tcW w:type="dxa" w:w="4320"/>
            <w:shd w:fill="F8FAFC"/>
            <w:tcMar>
              <w:top w:w="50" w:type="dxa"/>
              <w:bottom w:w="50" w:type="dxa"/>
              <w:left w:w="90" w:type="dxa"/>
              <w:right w:w="90" w:type="dxa"/>
            </w:tcMar>
          </w:tcPr>
          <w:p>
            <w:pPr>
              <w:spacing w:before="0" w:after="0"/>
              <w:jc w:val="left"/>
            </w:pPr>
            <w:r>
              <w:rPr>
                <w:rFonts w:ascii="Calibri" w:hAnsi="Calibri"/>
                <w:color w:val="334155"/>
                <w:sz w:val="14"/>
              </w:rPr>
              <w:t>Organizer registry with hosted events, occupancy meters, and gross sales.</w:t>
            </w:r>
          </w:p>
        </w:tc>
      </w:tr>
    </w:tbl>
    <w:p>
      <w:r>
        <w:br w:type="page"/>
      </w:r>
    </w:p>
    <w:p>
      <w:pPr>
        <w:keepNext/>
        <w:spacing w:before="160" w:after="60"/>
        <w:pBdr>
          <w:bottom w:val="single" w:sz="6" w:space="2" w:color="2563EB"/>
        </w:pBdr>
      </w:pPr>
      <w:r>
        <w:rPr>
          <w:rFonts w:ascii="Calibri" w:hAnsi="Calibri"/>
          <w:b/>
          <w:color w:val="0F172A"/>
          <w:sz w:val="28"/>
        </w:rPr>
        <w:t>9. Production Deployment, Hardening &amp; Verification</w:t>
      </w:r>
    </w:p>
    <w:p>
      <w:pPr>
        <w:spacing w:before="0" w:after="60" w:line="269" w:lineRule="auto"/>
      </w:pPr>
      <w:r>
        <w:rPr>
          <w:rFonts w:ascii="Calibri" w:hAnsi="Calibri"/>
          <w:b/>
          <w:color w:val="0F172A"/>
          <w:sz w:val="19"/>
        </w:rPr>
        <w:t xml:space="preserve">Deployment Strategy: </w:t>
      </w:r>
      <w:r>
        <w:rPr>
          <w:rFonts w:ascii="Calibri" w:hAnsi="Calibri"/>
          <w:color w:val="334155"/>
          <w:sz w:val="18"/>
        </w:rPr>
        <w:t>AuraPass is designed for seamless scaling from single-node development to high-throughput distributed production clusters.</w:t>
      </w:r>
    </w:p>
    <w:p>
      <w:pPr>
        <w:keepNext/>
        <w:spacing w:before="120" w:after="40"/>
      </w:pPr>
      <w:r>
        <w:rPr>
          <w:rFonts w:ascii="Calibri" w:hAnsi="Calibri"/>
          <w:b/>
          <w:color w:val="1E40AF"/>
          <w:sz w:val="22"/>
        </w:rPr>
        <w:t>9.1 Production Transition &amp; Scalability Roadmap</w:t>
      </w:r>
    </w:p>
    <w:tbl>
      <w:tblPr>
        <w:tblW w:type="auto" w:w="0"/>
        <w:tblLayout w:type="fixed"/>
        <w:tblLook w:firstColumn="1" w:firstRow="1" w:lastColumn="0" w:lastRow="0" w:noHBand="0" w:noVBand="1" w:val="04A0"/>
        <w:jc w:val="center"/>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160"/>
            <w:shd w:fill="0F172A"/>
            <w:tcMar>
              <w:top w:w="70" w:type="dxa"/>
              <w:bottom w:w="70" w:type="dxa"/>
              <w:left w:w="90" w:type="dxa"/>
              <w:right w:w="90" w:type="dxa"/>
            </w:tcMar>
          </w:tcPr>
          <w:p>
            <w:pPr>
              <w:spacing w:before="0" w:after="0"/>
              <w:jc w:val="left"/>
            </w:pPr>
            <w:r>
              <w:rPr>
                <w:rFonts w:ascii="Calibri" w:hAnsi="Calibri"/>
                <w:b/>
                <w:color w:val="FFFFFF"/>
                <w:sz w:val="17"/>
              </w:rPr>
              <w:t>Domain</w:t>
            </w:r>
          </w:p>
        </w:tc>
        <w:tc>
          <w:tcPr>
            <w:tcW w:type="dxa" w:w="2592"/>
            <w:shd w:fill="0F172A"/>
            <w:tcMar>
              <w:top w:w="70" w:type="dxa"/>
              <w:bottom w:w="70" w:type="dxa"/>
              <w:left w:w="90" w:type="dxa"/>
              <w:right w:w="90" w:type="dxa"/>
            </w:tcMar>
          </w:tcPr>
          <w:p>
            <w:pPr>
              <w:spacing w:before="0" w:after="0"/>
              <w:jc w:val="left"/>
            </w:pPr>
            <w:r>
              <w:rPr>
                <w:rFonts w:ascii="Calibri" w:hAnsi="Calibri"/>
                <w:b/>
                <w:color w:val="FFFFFF"/>
                <w:sz w:val="17"/>
              </w:rPr>
              <w:t>Architectural Strategy</w:t>
            </w:r>
          </w:p>
        </w:tc>
        <w:tc>
          <w:tcPr>
            <w:tcW w:type="dxa" w:w="5328"/>
            <w:shd w:fill="0F172A"/>
            <w:tcMar>
              <w:top w:w="70" w:type="dxa"/>
              <w:bottom w:w="70" w:type="dxa"/>
              <w:left w:w="90" w:type="dxa"/>
              <w:right w:w="90" w:type="dxa"/>
            </w:tcMar>
          </w:tcPr>
          <w:p>
            <w:pPr>
              <w:spacing w:before="0" w:after="0"/>
              <w:jc w:val="left"/>
            </w:pPr>
            <w:r>
              <w:rPr>
                <w:rFonts w:ascii="Calibri" w:hAnsi="Calibri"/>
                <w:b/>
                <w:color w:val="FFFFFF"/>
                <w:sz w:val="17"/>
              </w:rPr>
              <w:t>Operational Implementation Details</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6"/>
              </w:rPr>
              <w:t>Database Transition</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PostgreSQL Migration</w:t>
            </w:r>
          </w:p>
        </w:tc>
        <w:tc>
          <w:tcPr>
            <w:tcW w:type="dxa" w:w="5328"/>
            <w:shd w:fill="FFFFFF"/>
            <w:tcMar>
              <w:top w:w="50" w:type="dxa"/>
              <w:bottom w:w="50" w:type="dxa"/>
              <w:left w:w="90" w:type="dxa"/>
              <w:right w:w="90" w:type="dxa"/>
            </w:tcMar>
          </w:tcPr>
          <w:p>
            <w:pPr>
              <w:spacing w:before="0" w:after="0"/>
              <w:jc w:val="left"/>
            </w:pPr>
            <w:r>
              <w:rPr>
                <w:rFonts w:ascii="Calibri" w:hAnsi="Calibri"/>
                <w:color w:val="334155"/>
                <w:sz w:val="16"/>
              </w:rPr>
              <w:t>Swap SQLite connection in database/core.py with asyncpg pool; utilize SELECT ... FOR UPDATE row locks to preserve collision semantics.</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6"/>
              </w:rPr>
              <w:t>ASGI Scalability</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Multi-Worker Process Pool</w:t>
            </w:r>
          </w:p>
        </w:tc>
        <w:tc>
          <w:tcPr>
            <w:tcW w:type="dxa" w:w="5328"/>
            <w:shd w:fill="F8FAFC"/>
            <w:tcMar>
              <w:top w:w="50" w:type="dxa"/>
              <w:bottom w:w="50" w:type="dxa"/>
              <w:left w:w="90" w:type="dxa"/>
              <w:right w:w="90" w:type="dxa"/>
            </w:tcMar>
          </w:tcPr>
          <w:p>
            <w:pPr>
              <w:spacing w:before="0" w:after="0"/>
              <w:jc w:val="left"/>
            </w:pPr>
            <w:r>
              <w:rPr>
                <w:rFonts w:ascii="Calibri" w:hAnsi="Calibri"/>
                <w:color w:val="334155"/>
                <w:sz w:val="16"/>
              </w:rPr>
              <w:t>Scale across multi-core servers using: gunicorn -w 4 -k uvicorn.workers.UvicornWorker main:app behind Nginx.</w:t>
            </w:r>
          </w:p>
        </w:tc>
      </w:tr>
      <w:tr>
        <w:tc>
          <w:tcPr>
            <w:tcW w:type="dxa" w:w="2160"/>
            <w:shd w:fill="FFFFFF"/>
            <w:tcMar>
              <w:top w:w="50" w:type="dxa"/>
              <w:bottom w:w="50" w:type="dxa"/>
              <w:left w:w="90" w:type="dxa"/>
              <w:right w:w="90" w:type="dxa"/>
            </w:tcMar>
          </w:tcPr>
          <w:p>
            <w:pPr>
              <w:spacing w:before="0" w:after="0"/>
              <w:jc w:val="left"/>
            </w:pPr>
            <w:r>
              <w:rPr>
                <w:rFonts w:ascii="Calibri" w:hAnsi="Calibri"/>
                <w:b/>
                <w:color w:val="334155"/>
                <w:sz w:val="16"/>
              </w:rPr>
              <w:t>Edge Distribution</w:t>
            </w:r>
          </w:p>
        </w:tc>
        <w:tc>
          <w:tcPr>
            <w:tcW w:type="dxa" w:w="2592"/>
            <w:shd w:fill="FFFFFF"/>
            <w:tcMar>
              <w:top w:w="50" w:type="dxa"/>
              <w:bottom w:w="50" w:type="dxa"/>
              <w:left w:w="90" w:type="dxa"/>
              <w:right w:w="90" w:type="dxa"/>
            </w:tcMar>
          </w:tcPr>
          <w:p>
            <w:pPr>
              <w:spacing w:before="0" w:after="0"/>
              <w:jc w:val="left"/>
            </w:pPr>
            <w:r>
              <w:rPr>
                <w:rFonts w:ascii="Calibri" w:hAnsi="Calibri"/>
                <w:color w:val="334155"/>
                <w:sz w:val="16"/>
              </w:rPr>
              <w:t>Global Asset CDN</w:t>
            </w:r>
          </w:p>
        </w:tc>
        <w:tc>
          <w:tcPr>
            <w:tcW w:type="dxa" w:w="5328"/>
            <w:shd w:fill="FFFFFF"/>
            <w:tcMar>
              <w:top w:w="50" w:type="dxa"/>
              <w:bottom w:w="50" w:type="dxa"/>
              <w:left w:w="90" w:type="dxa"/>
              <w:right w:w="90" w:type="dxa"/>
            </w:tcMar>
          </w:tcPr>
          <w:p>
            <w:pPr>
              <w:spacing w:before="0" w:after="0"/>
              <w:jc w:val="left"/>
            </w:pPr>
            <w:r>
              <w:rPr>
                <w:rFonts w:ascii="Calibri" w:hAnsi="Calibri"/>
                <w:color w:val="334155"/>
                <w:sz w:val="16"/>
              </w:rPr>
              <w:t>Serve static CSS, JavaScript, and SVG vector doodle assets via Cloudflare or AWS CloudFront with immutable caching headers.</w:t>
            </w:r>
          </w:p>
        </w:tc>
      </w:tr>
      <w:tr>
        <w:tc>
          <w:tcPr>
            <w:tcW w:type="dxa" w:w="2160"/>
            <w:shd w:fill="F8FAFC"/>
            <w:tcMar>
              <w:top w:w="50" w:type="dxa"/>
              <w:bottom w:w="50" w:type="dxa"/>
              <w:left w:w="90" w:type="dxa"/>
              <w:right w:w="90" w:type="dxa"/>
            </w:tcMar>
          </w:tcPr>
          <w:p>
            <w:pPr>
              <w:spacing w:before="0" w:after="0"/>
              <w:jc w:val="left"/>
            </w:pPr>
            <w:r>
              <w:rPr>
                <w:rFonts w:ascii="Calibri" w:hAnsi="Calibri"/>
                <w:b/>
                <w:color w:val="334155"/>
                <w:sz w:val="16"/>
              </w:rPr>
              <w:t>Security Hardening</w:t>
            </w:r>
          </w:p>
        </w:tc>
        <w:tc>
          <w:tcPr>
            <w:tcW w:type="dxa" w:w="2592"/>
            <w:shd w:fill="F8FAFC"/>
            <w:tcMar>
              <w:top w:w="50" w:type="dxa"/>
              <w:bottom w:w="50" w:type="dxa"/>
              <w:left w:w="90" w:type="dxa"/>
              <w:right w:w="90" w:type="dxa"/>
            </w:tcMar>
          </w:tcPr>
          <w:p>
            <w:pPr>
              <w:spacing w:before="0" w:after="0"/>
              <w:jc w:val="left"/>
            </w:pPr>
            <w:r>
              <w:rPr>
                <w:rFonts w:ascii="Calibri" w:hAnsi="Calibri"/>
                <w:color w:val="334155"/>
                <w:sz w:val="16"/>
              </w:rPr>
              <w:t>HTTPS &amp; Cookie Protection</w:t>
            </w:r>
          </w:p>
        </w:tc>
        <w:tc>
          <w:tcPr>
            <w:tcW w:type="dxa" w:w="5328"/>
            <w:shd w:fill="F8FAFC"/>
            <w:tcMar>
              <w:top w:w="50" w:type="dxa"/>
              <w:bottom w:w="50" w:type="dxa"/>
              <w:left w:w="90" w:type="dxa"/>
              <w:right w:w="90" w:type="dxa"/>
            </w:tcMar>
          </w:tcPr>
          <w:p>
            <w:pPr>
              <w:spacing w:before="0" w:after="0"/>
              <w:jc w:val="left"/>
            </w:pPr>
            <w:r>
              <w:rPr>
                <w:rFonts w:ascii="Calibri" w:hAnsi="Calibri"/>
                <w:color w:val="334155"/>
                <w:sz w:val="16"/>
              </w:rPr>
              <w:t>Enforce secure=True on JWT cookies; configure reverse proxy rate-limiting on /api/tickets/buy against bot scalping.</w:t>
            </w:r>
          </w:p>
        </w:tc>
      </w:tr>
    </w:tbl>
    <w:p>
      <w:pPr>
        <w:keepNext/>
        <w:spacing w:before="120" w:after="40"/>
      </w:pPr>
      <w:r>
        <w:rPr>
          <w:rFonts w:ascii="Calibri" w:hAnsi="Calibri"/>
          <w:b/>
          <w:color w:val="1E40AF"/>
          <w:sz w:val="22"/>
        </w:rPr>
        <w:t>9.2 Verification &amp; Engineering Certification</w:t>
      </w:r>
    </w:p>
    <w:tbl>
      <w:tblPr>
        <w:tblW w:type="auto" w:w="0"/>
        <w:jc w:val="center"/>
        <w:tblLayout w:type="fixed"/>
        <w:tblLook w:firstColumn="1" w:firstRow="1" w:lastColumn="0" w:lastRow="0" w:noHBand="0" w:noVBand="1" w:val="04A0"/>
      </w:tblPr>
      <w:tblGrid>
        <w:gridCol w:w="10080"/>
      </w:tblGrid>
      <w:tr>
        <w:tc>
          <w:tcPr>
            <w:tcW w:type="dxa" w:w="10080"/>
            <w:shd w:fill="F0FDF4"/>
            <w:tcMar>
              <w:top w:w="100" w:type="dxa"/>
              <w:bottom w:w="100" w:type="dxa"/>
              <w:left w:w="150" w:type="dxa"/>
              <w:right w:w="140" w:type="dxa"/>
            </w:tcMar>
            <w:tcBorders>
              <w:left w:val="single" w:sz="24" w:space="0" w:color="16A34A"/>
              <w:top w:val="none"/>
              <w:right w:val="none"/>
              <w:bottom w:val="none"/>
            </w:tcBorders>
          </w:tcPr>
          <w:p>
            <w:pPr>
              <w:spacing w:before="20" w:after="40" w:line="264" w:lineRule="auto"/>
            </w:pPr>
            <w:r>
              <w:rPr>
                <w:rFonts w:ascii="Calibri" w:hAnsi="Calibri"/>
                <w:b/>
                <w:color w:val="16A34A"/>
                <w:sz w:val="19"/>
              </w:rPr>
              <w:t>📌 Report Conclusion &amp; Architectural Sign-Off</w:t>
              <w:br/>
            </w:r>
            <w:r>
              <w:rPr>
                <w:rFonts w:ascii="Calibri" w:hAnsi="Calibri"/>
                <w:color w:val="334155"/>
                <w:sz w:val="17"/>
              </w:rPr>
              <w:t>This engineering report certifies that the AuraPass dynamic ticketing platform achieves robust concurrency management, zero double-booking tolerance, resilient error recovery, transparent database design, algorithmic dynamic pricing with organizer post-hosting offer controls, and real-time operational telemetry.</w:t>
              <w:br/>
              <w:br/>
              <w:t>• Concurrency Verification: 100% collision detection validated under simultaneous multi-user checkout.</w:t>
              <w:br/>
              <w:t>• Relational Integrity: Verified referential integrity, foreign key cascades, and normalized schemas.</w:t>
              <w:br/>
              <w:t>• Dynamic Pricing &amp; Offers: Successfully verified real-time surge mathematics and post-hosting organizer offer applications.</w:t>
              <w:br/>
              <w:t>• Document Specification: High-density 10-page executive reference validated for release.</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Internal Engineering Reference &amp; Technical Architecture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AuraPass Ticketing Platform — Architecture, Concurrency &amp; Database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