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400"/>
              <w:left w:type="dxa" w:w="400"/>
              <w:bottom w:type="dxa" w:w="400"/>
              <w:right w:type="dxa" w:w="400"/>
            </w:tcMar>
          </w:tcPr>
          <w:p>
            <w:pPr>
              <w:spacing w:after="100" w:before="0"/>
            </w:pPr>
            <w:r>
              <w:rPr>
                <w:rFonts w:ascii="Arial" w:cs="Arial" w:eastAsia="Arial" w:hAnsi="Arial"/>
                <w:b/>
                <w:bCs/>
                <w:color w:val="AACCEE"/>
                <w:sz w:val="26"/>
                <w:szCs w:val="26"/>
              </w:rPr>
              <w:t xml:space="preserve">AUTONOMOUS AGENTIC COVENANT</w:t>
            </w:r>
          </w:p>
          <w:p>
            <w:pPr>
              <w:spacing w:after="80" w:before="0"/>
            </w:pPr>
            <w:r>
              <w:rPr>
                <w:rFonts w:ascii="Arial" w:cs="Arial" w:eastAsia="Arial" w:hAnsi="Arial"/>
                <w:b/>
                <w:bCs/>
                <w:color w:val="FFFFFF"/>
                <w:sz w:val="48"/>
                <w:szCs w:val="48"/>
              </w:rPr>
              <w:t xml:space="preserve">Threat Mitigation Crosswalk</w:t>
            </w:r>
          </w:p>
          <w:p>
            <w:pPr>
              <w:spacing w:after="160" w:before="0"/>
            </w:pPr>
            <w:r>
              <w:rPr>
                <w:rFonts w:ascii="Arial" w:cs="Arial" w:eastAsia="Arial" w:hAnsi="Arial"/>
                <w:b/>
                <w:bCs/>
                <w:color w:val="FFCC88"/>
                <w:sz w:val="26"/>
                <w:szCs w:val="26"/>
              </w:rPr>
              <w:t xml:space="preserve">MITRE ATLAS v5.4.0 — Adversarial Threat Landscape for AI Systems</w:t>
            </w:r>
          </w:p>
          <w:p>
            <w:pPr>
              <w:spacing w:after="100" w:before="0"/>
            </w:pPr>
            <w:r>
              <w:rPr>
                <w:rFonts w:ascii="Arial" w:cs="Arial" w:eastAsia="Arial" w:hAnsi="Arial"/>
                <w:i/>
                <w:iCs/>
                <w:color w:val="AACCEE"/>
                <w:sz w:val="22"/>
                <w:szCs w:val="22"/>
              </w:rPr>
              <w:t xml:space="preserve">Mapping AAC v1.3 governance controls to the ATLAS adversarial technique taxonomy</w:t>
            </w:r>
          </w:p>
          <w:p>
            <w:pPr>
              <w:spacing w:after="80" w:before="0"/>
            </w:pPr>
            <w:r>
              <w:rPr>
                <w:rFonts w:ascii="Arial" w:cs="Arial" w:eastAsia="Arial" w:hAnsi="Arial"/>
                <w:color w:val="AACCEE"/>
                <w:sz w:val="20"/>
                <w:szCs w:val="20"/>
              </w:rPr>
              <w:t xml:space="preserve">Version 1.0  ·  April 2026  ·  Raj Thakuri</w:t>
            </w:r>
          </w:p>
          <w:p>
            <w:pPr>
              <w:spacing w:after="0" w:before="0"/>
            </w:pPr>
            <w:r>
              <w:rPr>
                <w:rFonts w:ascii="Arial" w:cs="Arial" w:eastAsia="Arial" w:hAnsi="Arial"/>
                <w:color w:val="AACCEE"/>
                <w:sz w:val="19"/>
                <w:szCs w:val="19"/>
              </w:rPr>
              <w:t xml:space="preserve">Licensed under CC BY 4.0  ·  https://creativecommons.org/licenses/by/4.0/</w:t>
            </w:r>
          </w:p>
        </w:tc>
      </w:tr>
    </w:tbl>
    <w:p>
      <w:pPr>
        <w:spacing w:after="160" w:before="0"/>
        <w:jc w:val="left"/>
      </w:pPr>
      <w:r>
        <w:rPr>
          <w:rFonts w:ascii="Arial" w:cs="Arial" w:eastAsia="Arial" w:hAnsi="Arial"/>
          <w:color w:val="000000"/>
          <w:sz w:val="20"/>
          <w:szCs w:val="20"/>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6B4A1A" w:sz="12"/>
              <w:bottom w:val="none" w:color="FFFFFF" w:sz="0"/>
              <w:right w:val="none" w:color="FFFFFF" w:sz="0"/>
            </w:tcBorders>
            <w:shd w:fill="F7EDD6" w:val="clear"/>
            <w:tcMar>
              <w:top w:type="dxa" w:w="120"/>
              <w:left w:type="dxa" w:w="180"/>
              <w:bottom w:type="dxa" w:w="120"/>
              <w:right w:type="dxa" w:w="180"/>
            </w:tcMar>
          </w:tcPr>
          <w:p>
            <w:pPr>
              <w:spacing w:after="60" w:before="0"/>
              <w:jc w:val="left"/>
            </w:pPr>
            <w:r>
              <w:rPr>
                <w:rFonts w:ascii="Arial" w:cs="Arial" w:eastAsia="Arial" w:hAnsi="Arial"/>
                <w:b/>
                <w:bCs/>
                <w:color w:val="6B4A1A"/>
                <w:sz w:val="20"/>
                <w:szCs w:val="20"/>
              </w:rPr>
              <w:t xml:space="preserve">Why This Document Is Different From the AAC Framework Crosswalk</w:t>
            </w:r>
          </w:p>
          <w:p>
            <w:pPr>
              <w:spacing w:after="80" w:before="0"/>
              <w:jc w:val="left"/>
            </w:pPr>
            <w:r>
              <w:rPr>
                <w:rFonts w:ascii="Arial" w:cs="Arial" w:eastAsia="Arial" w:hAnsi="Arial"/>
                <w:color w:val="4A4A4A"/>
                <w:sz w:val="19"/>
                <w:szCs w:val="19"/>
              </w:rPr>
              <w:t xml:space="preserve">The AAC Framework Crosswalk (companion document) maps AAC governance controls to three external governance frameworks — CSA ATF, OWASP Agentic Top 10, and NIST AI RMF. That crosswalk answers the question: where does the AAC align with, extend, or gap against peer governance frameworks?</w:t>
            </w:r>
          </w:p>
          <w:p>
            <w:pPr>
              <w:spacing w:after="80" w:before="0"/>
              <w:jc w:val="left"/>
            </w:pPr>
            <w:r>
              <w:rPr>
                <w:rFonts w:ascii="Arial" w:cs="Arial" w:eastAsia="Arial" w:hAnsi="Arial"/>
                <w:b/>
                <w:bCs/>
                <w:color w:val="6B4A1A"/>
                <w:sz w:val="19"/>
                <w:szCs w:val="19"/>
              </w:rPr>
              <w:t xml:space="preserve">This document answers a different question: which AAC controls mitigate which adversarial techniques?</w:t>
            </w:r>
          </w:p>
          <w:p>
            <w:pPr>
              <w:spacing w:after="80" w:before="0"/>
              <w:jc w:val="left"/>
            </w:pPr>
            <w:r>
              <w:rPr>
                <w:rFonts w:ascii="Arial" w:cs="Arial" w:eastAsia="Arial" w:hAnsi="Arial"/>
                <w:color w:val="4A4A4A"/>
                <w:sz w:val="19"/>
                <w:szCs w:val="19"/>
              </w:rPr>
              <w:t xml:space="preserve">MITRE ATLAS is not a governance framework. It is an adversarial threat taxonomy — a structured catalog of what attackers do to AI and machine learning systems, organized by tactic and technique, grounded in documented real-world incidents and security research. Mapping governance controls to it is not an alignment exercise. It is a threat modeling exercise.</w:t>
            </w:r>
          </w:p>
          <w:p>
            <w:pPr>
              <w:spacing w:after="80" w:before="0"/>
              <w:jc w:val="left"/>
            </w:pPr>
            <w:r>
              <w:rPr>
                <w:rFonts w:ascii="Arial" w:cs="Arial" w:eastAsia="Arial" w:hAnsi="Arial"/>
                <w:color w:val="4A4A4A"/>
                <w:sz w:val="19"/>
                <w:szCs w:val="19"/>
              </w:rPr>
              <w:t xml:space="preserve">The coverage ratings below reflect defensive effectiveness, not conceptual alignment. 'Full' means the AAC control directly addresses the attack vector with a specific enforcement mechanism. 'Partial' means coverage is real but incomplete — the technique has attack paths the AAC does not fully close. 'Gap' means the technique represents an attack vector for which the AAC currently provides no meaningful mitigation.</w:t>
            </w:r>
          </w:p>
        </w:tc>
      </w:tr>
    </w:tbl>
    <w:p>
      <w:pPr>
        <w:spacing w:after="140" w:before="0"/>
        <w:jc w:val="left"/>
      </w:pPr>
      <w:r>
        <w:rPr>
          <w:rFonts w:ascii="Arial" w:cs="Arial" w:eastAsia="Arial" w:hAnsi="Arial"/>
          <w:color w:val="000000"/>
          <w:sz w:val="20"/>
          <w:szCs w:val="20"/>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9"/>
                <w:szCs w:val="19"/>
              </w:rPr>
              <w:t xml:space="preserve">● Full — direct enforcement mechanism</w:t>
            </w:r>
          </w:p>
        </w:tc>
        <w:tc>
          <w:tcPr>
            <w:tcW w:type="dxa" w:w="312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9"/>
                <w:szCs w:val="19"/>
              </w:rPr>
              <w:t xml:space="preserve">◑ Partial — real but incomplete coverage</w:t>
            </w:r>
          </w:p>
        </w:tc>
        <w:tc>
          <w:tcPr>
            <w:tcW w:type="dxa" w:w="312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9"/>
                <w:szCs w:val="19"/>
              </w:rPr>
              <w:t xml:space="preserve">○ Gap — no current AAC mitigation</w:t>
            </w:r>
          </w:p>
        </w:tc>
      </w:tr>
    </w:tbl>
    <w:p>
      <w:pPr>
        <w:spacing w:after="140" w:before="0"/>
        <w:jc w:val="left"/>
      </w:pPr>
      <w:r>
        <w:rPr>
          <w:rFonts w:ascii="Arial" w:cs="Arial" w:eastAsia="Arial" w:hAnsi="Arial"/>
          <w:color w:val="000000"/>
          <w:sz w:val="20"/>
          <w:szCs w:val="20"/>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200"/>
        <w:gridCol w:w="2000"/>
        <w:gridCol w:w="2000"/>
        <w:gridCol w:w="2160"/>
      </w:tblGrid>
      <w:tr>
        <w:tc>
          <w:tcPr>
            <w:tcW w:type="dxa" w:w="32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9"/>
                <w:szCs w:val="19"/>
              </w:rPr>
              <w:t xml:space="preserve">Scope</w:t>
            </w:r>
          </w:p>
        </w:tc>
        <w:tc>
          <w:tcPr>
            <w:tcW w:type="dxa" w:w="20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center"/>
            </w:pPr>
            <w:r>
              <w:rPr>
                <w:rFonts w:ascii="Arial" w:cs="Arial" w:eastAsia="Arial" w:hAnsi="Arial"/>
                <w:b/>
                <w:bCs/>
                <w:color w:val="FFFFFF"/>
                <w:sz w:val="19"/>
                <w:szCs w:val="19"/>
              </w:rPr>
              <w:t xml:space="preserve">Full</w:t>
            </w:r>
          </w:p>
        </w:tc>
        <w:tc>
          <w:tcPr>
            <w:tcW w:type="dxa" w:w="20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center"/>
            </w:pPr>
            <w:r>
              <w:rPr>
                <w:rFonts w:ascii="Arial" w:cs="Arial" w:eastAsia="Arial" w:hAnsi="Arial"/>
                <w:b/>
                <w:bCs/>
                <w:color w:val="FFFFFF"/>
                <w:sz w:val="19"/>
                <w:szCs w:val="19"/>
              </w:rPr>
              <w:t xml:space="preserve">Partial</w:t>
            </w:r>
          </w:p>
        </w:tc>
        <w:tc>
          <w:tcPr>
            <w:tcW w:type="dxa" w:w="216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center"/>
            </w:pPr>
            <w:r>
              <w:rPr>
                <w:rFonts w:ascii="Arial" w:cs="Arial" w:eastAsia="Arial" w:hAnsi="Arial"/>
                <w:b/>
                <w:bCs/>
                <w:color w:val="FFFFFF"/>
                <w:sz w:val="19"/>
                <w:szCs w:val="19"/>
              </w:rPr>
              <w:t xml:space="preserve">Gap</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9"/>
                <w:szCs w:val="19"/>
              </w:rPr>
              <w:t xml:space="preserve">ATLAS Tactic Coverage (16 tactics)</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15</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1</w:t>
            </w:r>
          </w:p>
        </w:tc>
        <w:tc>
          <w:tcPr>
            <w:tcW w:type="dxa" w:w="21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0</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9"/>
                <w:szCs w:val="19"/>
              </w:rPr>
              <w:t xml:space="preserve">Technique mappings in this document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19</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11</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0</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9"/>
                <w:szCs w:val="19"/>
              </w:rPr>
              <w:t xml:space="preserve">Identified gap areas requiring future controls</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w:t>
            </w:r>
          </w:p>
        </w:tc>
        <w:tc>
          <w:tcPr>
            <w:tcW w:type="dxa" w:w="21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5</w:t>
            </w:r>
          </w:p>
        </w:tc>
      </w:tr>
    </w:tbl>
    <w:p>
      <w:r>
        <w:br w:type="page"/>
      </w:r>
    </w:p>
    <w:p>
      <w:pPr>
        <w:pStyle w:val="Heading1"/>
        <w:pBdr>
          <w:bottom w:val="single" w:color="1B3A6B" w:sz="6" w:space="1"/>
        </w:pBdr>
        <w:spacing w:after="140" w:before="320"/>
      </w:pPr>
      <w:r>
        <w:rPr>
          <w:rFonts w:ascii="Arial" w:cs="Arial" w:eastAsia="Arial" w:hAnsi="Arial"/>
          <w:b/>
          <w:bCs/>
          <w:color w:val="1B3A6B"/>
          <w:sz w:val="30"/>
          <w:szCs w:val="30"/>
        </w:rPr>
        <w:t xml:space="preserve">Section 1 — MITRE ATLAS Framework Overview</w:t>
      </w:r>
    </w:p>
    <w:p>
      <w:pPr>
        <w:spacing w:after="120" w:before="0"/>
        <w:jc w:val="left"/>
      </w:pPr>
      <w:r>
        <w:rPr>
          <w:rFonts w:ascii="Arial" w:cs="Arial" w:eastAsia="Arial" w:hAnsi="Arial"/>
          <w:b/>
          <w:bCs/>
          <w:color w:val="000000"/>
          <w:sz w:val="19"/>
          <w:szCs w:val="19"/>
        </w:rPr>
        <w:t xml:space="preserve">Framework: </w:t>
      </w:r>
      <w:r>
        <w:rPr>
          <w:rFonts w:ascii="Arial" w:cs="Arial" w:eastAsia="Arial" w:hAnsi="Arial"/>
          <w:color w:val="000000"/>
          <w:sz w:val="19"/>
          <w:szCs w:val="19"/>
        </w:rPr>
        <w:t xml:space="preserve">MITRE ATLAS (Adversarial Threat Landscape for Artificial-Intelligence Systems) · v5.4.0 · February 2026 · 16 Tactics · 84 Techniques · 56 Sub-techniques · 32 Mitigations · 42 Case Studies · </w:t>
      </w:r>
      <w:r>
        <w:rPr>
          <w:rFonts w:ascii="Arial" w:cs="Arial" w:eastAsia="Arial" w:hAnsi="Arial"/>
          <w:i/>
          <w:iCs/>
          <w:color w:val="000000"/>
          <w:sz w:val="19"/>
          <w:szCs w:val="19"/>
        </w:rPr>
        <w:t xml:space="preserve">atlas.mitre.org</w:t>
      </w:r>
    </w:p>
    <w:p>
      <w:pPr>
        <w:spacing w:after="100" w:before="0"/>
        <w:jc w:val="left"/>
      </w:pPr>
      <w:r>
        <w:rPr>
          <w:rFonts w:ascii="Arial" w:cs="Arial" w:eastAsia="Arial" w:hAnsi="Arial"/>
          <w:color w:val="000000"/>
          <w:sz w:val="20"/>
          <w:szCs w:val="20"/>
        </w:rPr>
        <w:t xml:space="preserve">MITRE ATLAS is the authoritative adversarial technique taxonomy for AI and machine learning systems. Published and maintained by MITRE, it follows the same structural conventions as MITRE ATT&amp;CK but covers attack surfaces that ATT&amp;CK does not: training pipelines, model weights, inference APIs, embedding models, vector databases, and ML-specific software dependencies.</w:t>
      </w:r>
    </w:p>
    <w:p>
      <w:pPr>
        <w:spacing w:after="120" w:before="0"/>
        <w:jc w:val="left"/>
      </w:pPr>
      <w:r>
        <w:rPr>
          <w:rFonts w:ascii="Arial" w:cs="Arial" w:eastAsia="Arial" w:hAnsi="Arial"/>
          <w:color w:val="000000"/>
          <w:sz w:val="20"/>
          <w:szCs w:val="20"/>
        </w:rPr>
        <w:t xml:space="preserve">ATLAS is grounded in empirical evidence. Every technique entry links to documented case studies drawn from published security research and real-world incidents. The v5.4.0 release (February 2026) added agent-focused techniques including 'Publish Poisoned AI Agent Tool' and 'Escape to Host,' reflecting the expanding agentic AI attack surface. The January 2026 v5.3.0 update added three case studies specifically covering MCP server compromises, indirect prompt injection via MCP channels, and malicious AI agent deployment.</w:t>
      </w:r>
    </w:p>
    <w:p>
      <w:pPr>
        <w:spacing w:after="100" w:before="240"/>
      </w:pPr>
      <w:r>
        <w:rPr>
          <w:rFonts w:ascii="Arial" w:cs="Arial" w:eastAsia="Arial" w:hAnsi="Arial"/>
          <w:b/>
          <w:bCs/>
          <w:color w:val="2E5FA3"/>
          <w:sz w:val="24"/>
          <w:szCs w:val="24"/>
        </w:rPr>
        <w:t xml:space="preserve">1.1 — The 16 ATLAS Tactics (v5.4.0)</w:t>
      </w:r>
    </w:p>
    <w:p>
      <w:pPr>
        <w:spacing w:after="100" w:before="0"/>
        <w:jc w:val="left"/>
      </w:pPr>
      <w:r>
        <w:rPr>
          <w:rFonts w:ascii="Arial" w:cs="Arial" w:eastAsia="Arial" w:hAnsi="Arial"/>
          <w:color w:val="000000"/>
          <w:sz w:val="20"/>
          <w:szCs w:val="20"/>
        </w:rPr>
        <w:t xml:space="preserve">ATLAS tactics represent adversary objectives at each phase of an attack against AI systems, following the kill-chain logic from reconnaissance through impact. Two tactics — ML Model Access (AML.TA0004) and ML Attack Staging (AML.TA0012) — have no ATT&amp;CK equivalent, reflecting the unique requirements of AI system attacks.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600"/>
        <w:gridCol w:w="1800"/>
        <w:gridCol w:w="5960"/>
      </w:tblGrid>
      <w:tr>
        <w:tc>
          <w:tcPr>
            <w:tcW w:type="dxa" w:w="16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Tactic ID</w:t>
            </w:r>
          </w:p>
        </w:tc>
        <w:tc>
          <w:tcPr>
            <w:tcW w:type="dxa" w:w="18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Tactic Name</w:t>
            </w:r>
          </w:p>
        </w:tc>
        <w:tc>
          <w:tcPr>
            <w:tcW w:type="dxa" w:w="596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Description</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AML.TA0002</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Reconnaissance</w:t>
            </w:r>
          </w:p>
        </w:tc>
        <w:tc>
          <w:tcPr>
            <w:tcW w:type="dxa" w:w="5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Gather information about the target AI system, model, APIs, and training infrastructure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AML.TA0017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Resource Development</w:t>
            </w:r>
          </w:p>
        </w:tc>
        <w:tc>
          <w:tcPr>
            <w:tcW w:type="dxa" w:w="5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Acquire capabilities, infrastructure, datasets, and models to support the attack</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AML.TA0000</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Initial Access</w:t>
            </w:r>
          </w:p>
        </w:tc>
        <w:tc>
          <w:tcPr>
            <w:tcW w:type="dxa" w:w="5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Gain entry to the AI system via APIs, supply chain compromise, or credential theft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AML.TA0004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ML Model Access</w:t>
            </w:r>
          </w:p>
        </w:tc>
        <w:tc>
          <w:tcPr>
            <w:tcW w:type="dxa" w:w="5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Obtain the ability to query, access, or interact with the target ML model</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AML.TA0005</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Execution</w:t>
            </w:r>
          </w:p>
        </w:tc>
        <w:tc>
          <w:tcPr>
            <w:tcW w:type="dxa" w:w="5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Run adversarial code or malicious inputs within the target AI environment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AML.TA0006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Persistence</w:t>
            </w:r>
          </w:p>
        </w:tc>
        <w:tc>
          <w:tcPr>
            <w:tcW w:type="dxa" w:w="5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Maintain access or embed backdoors that survive model updates or redeployment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AML.TA0007</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Privilege Escalation</w:t>
            </w:r>
          </w:p>
        </w:tc>
        <w:tc>
          <w:tcPr>
            <w:tcW w:type="dxa" w:w="5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Gain higher-level permissions within the AI system or its hosting infrastructure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AML.TA0008</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Defense Evasion</w:t>
            </w:r>
          </w:p>
        </w:tc>
        <w:tc>
          <w:tcPr>
            <w:tcW w:type="dxa" w:w="5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Avoid detection by safety monitors, guardrails, or anomaly detection systems</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AML.TA0009</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Credential Access</w:t>
            </w:r>
          </w:p>
        </w:tc>
        <w:tc>
          <w:tcPr>
            <w:tcW w:type="dxa" w:w="5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Steal credentials for model APIs, training infrastructure, or data stores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AML.TA0003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Discovery</w:t>
            </w:r>
          </w:p>
        </w:tc>
        <w:tc>
          <w:tcPr>
            <w:tcW w:type="dxa" w:w="5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Enumerate AI system capabilities, training data, model architecture, and attack surface</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AML.TA0010</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Collection</w:t>
            </w:r>
          </w:p>
        </w:tc>
        <w:tc>
          <w:tcPr>
            <w:tcW w:type="dxa" w:w="5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Gather data, model outputs, or artifacts that support downstream attack objectives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ML Attack Staging</w:t>
            </w:r>
          </w:p>
        </w:tc>
        <w:tc>
          <w:tcPr>
            <w:tcW w:type="dxa" w:w="5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Prepare adversarial inputs, poisoned datasets, or malicious tools for deployment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AML.TA0013</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Exfiltration</w:t>
            </w:r>
          </w:p>
        </w:tc>
        <w:tc>
          <w:tcPr>
            <w:tcW w:type="dxa" w:w="5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Extract model weights, training data, or sensitive information via inference APIs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Command and Control</w:t>
            </w:r>
          </w:p>
        </w:tc>
        <w:tc>
          <w:tcPr>
            <w:tcW w:type="dxa" w:w="5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Maintain adversary control over compromised agents or infected AI components</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AML.TA0001</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Impact</w:t>
            </w:r>
          </w:p>
        </w:tc>
        <w:tc>
          <w:tcPr>
            <w:tcW w:type="dxa" w:w="5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Degrade, corrupt, manipulate, or destroy AI system outputs or underlying artifacts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AML.TA0011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LLM-Specific Techniques</w:t>
            </w:r>
          </w:p>
        </w:tc>
        <w:tc>
          <w:tcPr>
            <w:tcW w:type="dxa" w:w="5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Attack techniques specific to large language models: prompt injection, jailbreaking, self-replication</w:t>
            </w:r>
          </w:p>
        </w:tc>
      </w:tr>
    </w:tbl>
    <w:p>
      <w:pPr>
        <w:spacing w:after="120" w:before="0"/>
        <w:jc w:val="left"/>
      </w:pPr>
      <w:r>
        <w:rPr>
          <w:rFonts w:ascii="Arial" w:cs="Arial" w:eastAsia="Arial" w:hAnsi="Arial"/>
          <w:color w:val="000000"/>
          <w:sz w:val="20"/>
          <w:szCs w:val="20"/>
        </w:rPr>
        <w:t xml:space="preserve"/>
      </w:r>
    </w:p>
    <w:p>
      <w:pPr>
        <w:spacing w:after="100" w:before="240"/>
      </w:pPr>
      <w:r>
        <w:rPr>
          <w:rFonts w:ascii="Arial" w:cs="Arial" w:eastAsia="Arial" w:hAnsi="Arial"/>
          <w:b/>
          <w:bCs/>
          <w:color w:val="2E5FA3"/>
          <w:sz w:val="24"/>
          <w:szCs w:val="24"/>
        </w:rPr>
        <w:t xml:space="preserve">1.2 — How ATLAS Relates to ATT&amp;CK and Other Frameworks</w:t>
      </w:r>
    </w:p>
    <w:p>
      <w:pPr>
        <w:spacing w:after="80" w:before="0"/>
        <w:jc w:val="left"/>
      </w:pPr>
      <w:r>
        <w:rPr>
          <w:rFonts w:ascii="Arial" w:cs="Arial" w:eastAsia="Arial" w:hAnsi="Arial"/>
          <w:color w:val="000000"/>
          <w:sz w:val="20"/>
          <w:szCs w:val="20"/>
        </w:rPr>
        <w:t xml:space="preserve">ATLAS and ATT&amp;CK are complementary, not competing. ATT&amp;CK covers adversarial behavior against traditional IT infrastructure — operating systems, networks, applications, cloud environments. ATLAS covers adversarial behavior against AI and ML systems specifically. In agentic AI deployments, both apply simultaneously: an agent with access to filesystems, external APIs, and internal services has an attack surface that spans both taxonomies.</w:t>
      </w:r>
    </w:p>
    <w:p>
      <w:pPr>
        <w:spacing w:after="80" w:before="0"/>
        <w:jc w:val="left"/>
      </w:pPr>
      <w:r>
        <w:rPr>
          <w:rFonts w:ascii="Arial" w:cs="Arial" w:eastAsia="Arial" w:hAnsi="Arial"/>
          <w:color w:val="000000"/>
          <w:sz w:val="20"/>
          <w:szCs w:val="20"/>
        </w:rPr>
        <w:t xml:space="preserve">Relative to OWASP's Agentic Top 10, ATLAS provides the technique-level granularity behind each risk. OWASP identifies which risks to prioritize; ATLAS specifies what the attacker does and how. The two are used together for complete AI security coverage: OWASP for risk prioritization, ATLAS for threat modeling and red team scope.</w:t>
      </w:r>
    </w:p>
    <w:p>
      <w:pPr>
        <w:spacing w:after="80" w:before="0"/>
        <w:jc w:val="left"/>
      </w:pPr>
      <w:r>
        <w:rPr>
          <w:rFonts w:ascii="Arial" w:cs="Arial" w:eastAsia="Arial" w:hAnsi="Arial"/>
          <w:color w:val="000000"/>
          <w:sz w:val="20"/>
          <w:szCs w:val="20"/>
        </w:rPr>
        <w:t xml:space="preserve">Relative to the NIST AI RMF, ATLAS provides the threat evidence base that NIST's MEASURE function expects. NIST requires organizations to assess AI risk; ATLAS provides the documented, research-grounded technique catalog that makes those assessments empirically defensible.</w:t>
      </w:r>
    </w:p>
    <w:p>
      <w:r>
        <w:br w:type="page"/>
      </w:r>
    </w:p>
    <w:p>
      <w:pPr>
        <w:pStyle w:val="Heading1"/>
        <w:pBdr>
          <w:bottom w:val="single" w:color="1B3A6B" w:sz="6" w:space="1"/>
        </w:pBdr>
        <w:spacing w:after="140" w:before="320"/>
      </w:pPr>
      <w:r>
        <w:rPr>
          <w:rFonts w:ascii="Arial" w:cs="Arial" w:eastAsia="Arial" w:hAnsi="Arial"/>
          <w:b/>
          <w:bCs/>
          <w:color w:val="1B3A6B"/>
          <w:sz w:val="30"/>
          <w:szCs w:val="30"/>
        </w:rPr>
        <w:t xml:space="preserve">Section 2 — AAC to ATLAS Technique Mitigation Crosswalk</w:t>
      </w:r>
    </w:p>
    <w:p>
      <w:pPr>
        <w:spacing w:after="80" w:before="0"/>
        <w:jc w:val="left"/>
      </w:pPr>
      <w:r>
        <w:rPr>
          <w:rFonts w:ascii="Arial" w:cs="Arial" w:eastAsia="Arial" w:hAnsi="Arial"/>
          <w:color w:val="000000"/>
          <w:sz w:val="20"/>
          <w:szCs w:val="20"/>
        </w:rPr>
        <w:t xml:space="preserve">The table below maps AAC controls to the ATLAS techniques they mitigate, organized by ATLAS tactic. For each technique, the mitigation mechanism describes specifically how the AAC control addresses the attack vector — not simply that there is conceptual overlap.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2E5FA3" w:sz="12"/>
              <w:bottom w:val="none" w:color="FFFFFF" w:sz="0"/>
              <w:right w:val="none" w:color="FFFFFF" w:sz="0"/>
            </w:tcBorders>
            <w:shd w:fill="D6E4F7" w:val="clear"/>
            <w:tcMar>
              <w:top w:type="dxa" w:w="120"/>
              <w:left w:type="dxa" w:w="180"/>
              <w:bottom w:type="dxa" w:w="120"/>
              <w:right w:type="dxa" w:w="180"/>
            </w:tcMar>
          </w:tcPr>
          <w:p>
            <w:pPr>
              <w:spacing w:after="60" w:before="0"/>
              <w:jc w:val="left"/>
            </w:pPr>
            <w:r>
              <w:rPr>
                <w:rFonts w:ascii="Arial" w:cs="Arial" w:eastAsia="Arial" w:hAnsi="Arial"/>
                <w:b/>
                <w:bCs/>
                <w:color w:val="2E5FA3"/>
                <w:sz w:val="20"/>
                <w:szCs w:val="20"/>
              </w:rPr>
              <w:t xml:space="preserve">Reading this table</w:t>
            </w:r>
          </w:p>
          <w:p>
            <w:pPr>
              <w:spacing w:after="80" w:before="0"/>
              <w:jc w:val="left"/>
            </w:pPr>
            <w:r>
              <w:rPr>
                <w:rFonts w:ascii="Arial" w:cs="Arial" w:eastAsia="Arial" w:hAnsi="Arial"/>
                <w:color w:val="4A4A4A"/>
                <w:sz w:val="19"/>
                <w:szCs w:val="19"/>
              </w:rPr>
              <w:t xml:space="preserve">Each row represents an attack path. The 'AAC Controls' column identifies the specific controls that provide mitigation. The 'Mitigation Mechanism' column explains the enforcement path — how the control prevents, detects, or contains the technique. Where coverage is Partial, the note identifies what the AAC does not address and why.</w:t>
            </w:r>
          </w:p>
        </w:tc>
      </w:tr>
    </w:tbl>
    <w:p>
      <w:pPr>
        <w:spacing w:after="120" w:before="0"/>
        <w:jc w:val="left"/>
      </w:pPr>
      <w:r>
        <w:rPr>
          <w:rFonts w:ascii="Arial" w:cs="Arial" w:eastAsia="Arial" w:hAnsi="Arial"/>
          <w:color w:val="000000"/>
          <w:sz w:val="20"/>
          <w:szCs w:val="20"/>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600"/>
        <w:gridCol w:w="1900"/>
        <w:gridCol w:w="1900"/>
        <w:gridCol w:w="700"/>
        <w:gridCol w:w="3260"/>
      </w:tblGrid>
      <w:tr>
        <w:tc>
          <w:tcPr>
            <w:tcW w:type="dxa" w:w="16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7"/>
                <w:szCs w:val="17"/>
              </w:rPr>
              <w:t xml:space="preserve">AAC Controls</w:t>
            </w:r>
          </w:p>
        </w:tc>
        <w:tc>
          <w:tcPr>
            <w:tcW w:type="dxa" w:w="19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7"/>
                <w:szCs w:val="17"/>
              </w:rPr>
              <w:t xml:space="preserve">ATLAS Tactic</w:t>
            </w:r>
          </w:p>
        </w:tc>
        <w:tc>
          <w:tcPr>
            <w:tcW w:type="dxa" w:w="19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7"/>
                <w:szCs w:val="17"/>
              </w:rPr>
              <w:t xml:space="preserve">ATLAS Technique(s)</w:t>
            </w:r>
          </w:p>
        </w:tc>
        <w:tc>
          <w:tcPr>
            <w:tcW w:type="dxa" w:w="7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7"/>
                <w:szCs w:val="17"/>
              </w:rPr>
              <w:t xml:space="preserve">Coverage</w:t>
            </w:r>
          </w:p>
        </w:tc>
        <w:tc>
          <w:tcPr>
            <w:tcW w:type="dxa" w:w="326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7"/>
                <w:szCs w:val="17"/>
              </w:rPr>
              <w:t xml:space="preserve">Mitigation Mechanism</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AAC-DP-09 + ZT-65 + OG-23</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Reconnaissance (AML.TA0002)</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ML Model Inference API Access (AML.T0040)</w:t>
            </w:r>
          </w:p>
          <w:p>
            <w:pPr>
              <w:spacing w:after="0" w:before="0"/>
              <w:jc w:val="left"/>
            </w:pPr>
            <w:r>
              <w:rPr>
                <w:rFonts w:ascii="Arial" w:cs="Arial" w:eastAsia="Arial" w:hAnsi="Arial"/>
                <w:color w:val="000000"/>
                <w:sz w:val="16"/>
                <w:szCs w:val="16"/>
              </w:rPr>
              <w:t xml:space="preserve">Active Scanning of ML Infrastructure (AML.T0047)</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DP-09 (least disclosure) limits what the inference API reveals per query. ZT-65 (least privilege) scopes API access to minimum required permissions. OG-23 (justify scope) minimizes the exposed attack surface.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AAC-ZT-64 + ZT-66 + ZT-74</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Reconnaissance (AML.TA0002)</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Search for Victim's AI Artifacts (AML.T0000)</w:t>
            </w:r>
          </w:p>
          <w:p>
            <w:pPr>
              <w:spacing w:after="0" w:before="0"/>
              <w:jc w:val="left"/>
            </w:pPr>
            <w:r>
              <w:rPr>
                <w:rFonts w:ascii="Arial" w:cs="Arial" w:eastAsia="Arial" w:hAnsi="Arial"/>
                <w:color w:val="000000"/>
                <w:sz w:val="16"/>
                <w:szCs w:val="16"/>
              </w:rPr>
              <w:t xml:space="preserve">Search Victim-Owned Websites (AML.T0001)</w:t>
            </w:r>
          </w:p>
        </w:tc>
        <w:tc>
          <w:tcPr>
            <w:tcW w:type="dxa" w:w="7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6"/>
                <w:szCs w:val="16"/>
              </w:rPr>
              <w:t xml:space="preserve">Partial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ZT-64 (no implicit trust) and ZT-66 (short-lived credentials) limit credential exposure. ZT-74 (continuous verification) detects anomalous reconnaissance patterns. Passive OSINT reconnaissance has no complete technical countermeasure.</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AAC-AO-56 + ZT-71</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Resource Development (AML.TA0017)</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Publish Poisoned Datasets (AML.T0019)</w:t>
            </w:r>
          </w:p>
          <w:p>
            <w:pPr>
              <w:spacing w:after="0" w:before="0"/>
              <w:jc w:val="left"/>
            </w:pPr>
            <w:r>
              <w:rPr>
                <w:rFonts w:ascii="Arial" w:cs="Arial" w:eastAsia="Arial" w:hAnsi="Arial"/>
                <w:color w:val="000000"/>
                <w:sz w:val="16"/>
                <w:szCs w:val="16"/>
              </w:rPr>
              <w:t xml:space="preserve">Publish Poisoned AI Agent Tool (AML.T0065)</w:t>
            </w:r>
          </w:p>
        </w:tc>
        <w:tc>
          <w:tcPr>
            <w:tcW w:type="dxa" w:w="7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6"/>
                <w:szCs w:val="16"/>
              </w:rPr>
              <w:t xml:space="preserve">Partial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AO-56 (governed feedback loop) monitors for adversarial signal injection and requires bias review before ingestion. ZT-71 (hostile input validation) validates external data before processing. External dataset provenance verification is a gap requiring supply chain controls beyond current AAC scope.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AAC-OG-24 + TB-29</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Resource Development (AML.TA0017)</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Acquire ML Attack Capabilities (AML.T0016)</w:t>
            </w:r>
          </w:p>
          <w:p>
            <w:pPr>
              <w:spacing w:after="0" w:before="0"/>
              <w:jc w:val="left"/>
            </w:pPr>
            <w:r>
              <w:rPr>
                <w:rFonts w:ascii="Arial" w:cs="Arial" w:eastAsia="Arial" w:hAnsi="Arial"/>
                <w:color w:val="000000"/>
                <w:sz w:val="16"/>
                <w:szCs w:val="16"/>
              </w:rPr>
              <w:t xml:space="preserve">Create Proxy ML Model (AML.T0005)</w:t>
            </w:r>
          </w:p>
        </w:tc>
        <w:tc>
          <w:tcPr>
            <w:tcW w:type="dxa" w:w="7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6"/>
                <w:szCs w:val="16"/>
              </w:rPr>
              <w:t xml:space="preserve">Partial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TB-29 (regression guardrails) detects model behavioral changes that may indicate a shadow model attack. OG-24 (governance as code) requires versioned model artifacts. Adversary-side resource development is primarily a threat intelligence and perimeter concern outside AAC scope.</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AAC-ZT-71 + OG-24 + AO-56</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Initial Access (AML.TA0000)</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Compromise ML Software Dependencies (AML.T0048)</w:t>
            </w:r>
          </w:p>
          <w:p>
            <w:pPr>
              <w:spacing w:after="0" w:before="0"/>
              <w:jc w:val="left"/>
            </w:pPr>
            <w:r>
              <w:rPr>
                <w:rFonts w:ascii="Arial" w:cs="Arial" w:eastAsia="Arial" w:hAnsi="Arial"/>
                <w:color w:val="000000"/>
                <w:sz w:val="16"/>
                <w:szCs w:val="16"/>
              </w:rPr>
              <w:t xml:space="preserve">Poison Training Data via Supply Chain (AML.T0020.001)</w:t>
            </w:r>
          </w:p>
        </w:tc>
        <w:tc>
          <w:tcPr>
            <w:tcW w:type="dxa" w:w="7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6"/>
                <w:szCs w:val="16"/>
              </w:rPr>
              <w:t xml:space="preserve">Partial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ZT-71 (hostile input validation) validates inputs from external sources. OG-24 (governance as code) requires versioned, audited dependency references. AO-56 monitors for adversarial signals in feedback loops. Dynamic runtime supply chain component provenance verification is a recognized gap — the only partial gap in OWASP ASI04 coverage.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AAC-ZT-64 + ZT-66 + ZT-67</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Initial Access (AML.TA0000)</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Valid Accounts (AML.T0012)</w:t>
            </w:r>
          </w:p>
          <w:p>
            <w:pPr>
              <w:spacing w:after="0" w:before="0"/>
              <w:jc w:val="left"/>
            </w:pPr>
            <w:r>
              <w:rPr>
                <w:rFonts w:ascii="Arial" w:cs="Arial" w:eastAsia="Arial" w:hAnsi="Arial"/>
                <w:color w:val="000000"/>
                <w:sz w:val="16"/>
                <w:szCs w:val="16"/>
              </w:rPr>
              <w:t xml:space="preserve">Exploit Public-Facing Application (AML.T0049)</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ZT-66 (short-lived credentials) bounds the blast radius of stolen credentials by TTL. ZT-64 (no implicit trust) re-validates every request regardless of apparent session validity. ZT-67 (authenticate-authorize-validate sequence) prevents credential replay attacks.</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AAC-ZT-65 + OG-23 + DA-63</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ML Model Access (AML.TA0004)</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ML Model Inference API Access (AML.T0040)</w:t>
            </w:r>
          </w:p>
          <w:p>
            <w:pPr>
              <w:spacing w:after="0" w:before="0"/>
              <w:jc w:val="left"/>
            </w:pPr>
            <w:r>
              <w:rPr>
                <w:rFonts w:ascii="Arial" w:cs="Arial" w:eastAsia="Arial" w:hAnsi="Arial"/>
                <w:color w:val="000000"/>
                <w:sz w:val="16"/>
                <w:szCs w:val="16"/>
              </w:rPr>
              <w:t xml:space="preserve">Develop Capabilities: Shadow ML Model (AML.T0017)</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ZT-65 (least privilege) scopes model API access to declared task requirements — no wildcard access. OG-23 (justify scope) requires access to be justified against task need. DA-63 (centralized enforcement boundary) ensures all model interactions pass through the governance layer.</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AAC-ZT-66 + ZT-74 + AO-52</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ML Model Access (AML.TA0004)</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Establish Accounts (AML.T0018.001)</w:t>
            </w:r>
          </w:p>
          <w:p>
            <w:pPr>
              <w:spacing w:after="0" w:before="0"/>
              <w:jc w:val="left"/>
            </w:pPr>
            <w:r>
              <w:rPr>
                <w:rFonts w:ascii="Arial" w:cs="Arial" w:eastAsia="Arial" w:hAnsi="Arial"/>
                <w:color w:val="000000"/>
                <w:sz w:val="16"/>
                <w:szCs w:val="16"/>
              </w:rPr>
              <w:t xml:space="preserve">Compromise ML Model Repository (AML.T0046)</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ZT-66 (short-lived credentials) prevents persistent unauthorized model repository access. ZT-74 (continuous verification) detects anomalous access patterns post-authentication. AO-52 (explicit trust tiers) governs which agents may access which model components.</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AAC-ZT-75 + DA-60 + DA-63</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Execution (AML.TA0005)</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LLM Prompt Injection (AML.T0051)</w:t>
            </w:r>
          </w:p>
          <w:p>
            <w:pPr>
              <w:spacing w:after="0" w:before="0"/>
              <w:jc w:val="left"/>
            </w:pPr>
            <w:r>
              <w:rPr>
                <w:rFonts w:ascii="Arial" w:cs="Arial" w:eastAsia="Arial" w:hAnsi="Arial"/>
                <w:color w:val="000000"/>
                <w:sz w:val="16"/>
                <w:szCs w:val="16"/>
              </w:rPr>
              <w:t xml:space="preserve">Indirect Prompt Injection (AML.T0054)</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ZT-75 (instruction isolation) is the primary mitigation — no agent executes raw inputs as system directives. DA-60 (deterministic arbitration) validates high-risk actions before execution. DA-63 (centralized enforcement boundary) prevents bypassing the governance layer.</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AAC-AO-58 + RS-36 + RS-39</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Execution (AML.TA0005)</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Cost Harvesting (AML.T0034)</w:t>
            </w:r>
          </w:p>
          <w:p>
            <w:pPr>
              <w:spacing w:after="0" w:before="0"/>
              <w:jc w:val="left"/>
            </w:pPr>
            <w:r>
              <w:rPr>
                <w:rFonts w:ascii="Arial" w:cs="Arial" w:eastAsia="Arial" w:hAnsi="Arial"/>
                <w:color w:val="000000"/>
                <w:sz w:val="16"/>
                <w:szCs w:val="16"/>
              </w:rPr>
              <w:t xml:space="preserve">Excessive API Requests (AML.T0036)</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AO-58 (resource constraint governance) enforces compute budgets, API quotas, and execution time bounds. RS-36 (circuit breakers) terminates sustained high-volume request streams. RS-39 (system safe mode) activates when API consumption patterns indicate denial-of-wallet activity.</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AAC-ZT-71 + AO-54 + ZT-75</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Execution (AML.TA0005)</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Escape to Host (AML.T0066)</w:t>
            </w:r>
          </w:p>
          <w:p>
            <w:pPr>
              <w:spacing w:after="0" w:before="0"/>
              <w:jc w:val="left"/>
            </w:pPr>
            <w:r>
              <w:rPr>
                <w:rFonts w:ascii="Arial" w:cs="Arial" w:eastAsia="Arial" w:hAnsi="Arial"/>
                <w:color w:val="000000"/>
                <w:sz w:val="16"/>
                <w:szCs w:val="16"/>
              </w:rPr>
              <w:t xml:space="preserve">LLM Plugin Compromise (AML.T0055)</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ZT-71 (sandboxed execution) contains adversarial inputs — agents processing external content cannot reach other services if the input is adversarial. AO-54 (cross-agent isolation) prevents lateral execution through plugin or tool compromise.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AAC-TB-29 + AO-56 + OG-25</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Persistence (AML.TA0006)</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Backdoor ML Model (AML.T0018)</w:t>
            </w:r>
          </w:p>
          <w:p>
            <w:pPr>
              <w:spacing w:after="0" w:before="0"/>
              <w:jc w:val="left"/>
            </w:pPr>
            <w:r>
              <w:rPr>
                <w:rFonts w:ascii="Arial" w:cs="Arial" w:eastAsia="Arial" w:hAnsi="Arial"/>
                <w:color w:val="000000"/>
                <w:sz w:val="16"/>
                <w:szCs w:val="16"/>
              </w:rPr>
              <w:t xml:space="preserve">Poison Training Data (AML.T0020)</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TB-29 (regression guardrails) detects behavioral changes introduced by backdoored model updates — any update must meet prior accuracy threshold across benchmark inputs including adversarial examples. AO-56 (governed feedback loop) requires bias review before training updates are applied. OG-25 (policy enforcement integrity) detects runtime behavioral divergence from declared governance artifacts.</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AAC-OG-24 + AO-53</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Persistence (AML.TA0006)</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0" w:before="0"/>
              <w:jc w:val="left"/>
            </w:pPr>
            <w:r>
              <w:rPr>
                <w:rFonts w:ascii="Arial" w:cs="Arial" w:eastAsia="Arial" w:hAnsi="Arial"/>
                <w:color w:val="000000"/>
                <w:sz w:val="16"/>
                <w:szCs w:val="16"/>
              </w:rPr>
              <w:t xml:space="preserve">Establish Persistence via Legitimate Agent (AML.T0068)</w:t>
            </w:r>
          </w:p>
        </w:tc>
        <w:tc>
          <w:tcPr>
            <w:tcW w:type="dxa" w:w="7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6"/>
                <w:szCs w:val="16"/>
              </w:rPr>
              <w:t xml:space="preserve">Partial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OG-24 (governance as code) requires versioned agent behavioral specifications — unauthorized behavioral changes are detectable. AO-53 (dynamic trust adjustment) automatically downgrades trust tiers when behavioral anomalies are detected. Covert persistence via legitimate agent channels is difficult to fully prevent without runtime behavioral monitoring beyond current AAC scope.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AAC-AO-54 + TS-13 + ZT-65</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Privilege Escalation (AML.TA0007)</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Exploit ML Software Dependency (AML.T0048.001)</w:t>
            </w:r>
          </w:p>
          <w:p>
            <w:pPr>
              <w:spacing w:after="0" w:before="0"/>
              <w:jc w:val="left"/>
            </w:pPr>
            <w:r>
              <w:rPr>
                <w:rFonts w:ascii="Arial" w:cs="Arial" w:eastAsia="Arial" w:hAnsi="Arial"/>
                <w:color w:val="000000"/>
                <w:sz w:val="16"/>
                <w:szCs w:val="16"/>
              </w:rPr>
              <w:t xml:space="preserve">Agent Permission Escalation via Prompt (AML.T0069)</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AO-54 (cross-agent isolation) prevents agents from inheriting escalated permissions from peer agents or orchestrators. TS-13 (trust bounded by verified provenance) requires re-validation of permission claims at every trust boundary. ZT-65 (least privilege) ensures no agent holds permissions beyond its declared task scope.</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AAC-AO-52 + AO-53 + DA-62</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Privilege Escalation (AML.TA0007)</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Manipulate Model to Expand Permissions (AML.T0070)</w:t>
            </w:r>
          </w:p>
          <w:p>
            <w:pPr>
              <w:spacing w:after="0" w:before="0"/>
              <w:jc w:val="left"/>
            </w:pPr>
            <w:r>
              <w:rPr>
                <w:rFonts w:ascii="Arial" w:cs="Arial" w:eastAsia="Arial" w:hAnsi="Arial"/>
                <w:color w:val="000000"/>
                <w:sz w:val="16"/>
                <w:szCs w:val="16"/>
              </w:rPr>
              <w:t xml:space="preserve">Self-Assigned Trust Elevation (AML.T0071)</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AO-52 (explicit trust tiers) prohibits self-assignment of trust tiers — tier assignment is a human governance decision. AO-53 (dynamic trust adjustment) makes downgrade automatic but upgrade deliberate and audited. DA-62 (confidence enforcement at arbitration layer) prevents agents from self-certifying elevated authority.</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AAC-OG-25 + AO-51 + TB-28</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Defense Evasion (AML.TA0008)</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Evade ML Model (AML.T0015)</w:t>
            </w:r>
          </w:p>
          <w:p>
            <w:pPr>
              <w:spacing w:after="40" w:before="0"/>
              <w:jc w:val="left"/>
            </w:pPr>
            <w:r>
              <w:rPr>
                <w:rFonts w:ascii="Arial" w:cs="Arial" w:eastAsia="Arial" w:hAnsi="Arial"/>
                <w:color w:val="000000"/>
                <w:sz w:val="16"/>
                <w:szCs w:val="16"/>
              </w:rPr>
              <w:t xml:space="preserve">Craft Adversarial Data (AML.T0043)</w:t>
            </w:r>
          </w:p>
          <w:p>
            <w:pPr>
              <w:spacing w:after="0" w:before="0"/>
              <w:jc w:val="left"/>
            </w:pPr>
            <w:r>
              <w:rPr>
                <w:rFonts w:ascii="Arial" w:cs="Arial" w:eastAsia="Arial" w:hAnsi="Arial"/>
                <w:color w:val="000000"/>
                <w:sz w:val="16"/>
                <w:szCs w:val="16"/>
              </w:rPr>
              <w:t xml:space="preserve">GAN-Based Evasion (AML.T0043.003)</w:t>
            </w:r>
          </w:p>
        </w:tc>
        <w:tc>
          <w:tcPr>
            <w:tcW w:type="dxa" w:w="7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6"/>
                <w:szCs w:val="16"/>
              </w:rPr>
              <w:t xml:space="preserve">Partial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OG-25 (policy enforcement integrity) detects runtime behavioral divergence from declared governance artifacts. AO-51 (self-monitoring) continuously tracks agent accuracy against defined KPIs — evasion-induced accuracy degradation triggers automatic guardrail tightening. TB-28 (production observability) enables synthetic transaction testing to detect evasion. Full adversarial robustness against crafted evasion inputs requires ML-layer defenses (adversarial training, certified robustness) beyond AAC scope.</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AAC-ZT-75 + AI-13 + DA-60</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Defense Evasion (AML.TA0008)</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LLM Jailbreak (AML.T0054.001)</w:t>
            </w:r>
          </w:p>
          <w:p>
            <w:pPr>
              <w:spacing w:after="0" w:before="0"/>
              <w:jc w:val="left"/>
            </w:pPr>
            <w:r>
              <w:rPr>
                <w:rFonts w:ascii="Arial" w:cs="Arial" w:eastAsia="Arial" w:hAnsi="Arial"/>
                <w:color w:val="000000"/>
                <w:sz w:val="16"/>
                <w:szCs w:val="16"/>
              </w:rPr>
              <w:t xml:space="preserve">Obfuscation via Encoding (AML.T0043.004)</w:t>
            </w:r>
          </w:p>
        </w:tc>
        <w:tc>
          <w:tcPr>
            <w:tcW w:type="dxa" w:w="7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6"/>
                <w:szCs w:val="16"/>
              </w:rPr>
              <w:t xml:space="preserve">Partial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ZT-75 (instruction isolation) prevents jailbreak payloads from being executed as system directives at the architectural level. AI-13 (trust calibration) prevents the system from presenting jailbroken outputs with false confidence. DA-60 (deterministic arbitration) applies harm assessment before executing outputs of uncertain provenance. Encoding-based obfuscation at the model layer requires tokenizer-level defenses outside AAC scope.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AAC-ZT-66 + ZT-64 + ZT-67</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Credential Access (AML.TA0009)</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Steal ML Model Credentials (AML.T0012.001)</w:t>
            </w:r>
          </w:p>
          <w:p>
            <w:pPr>
              <w:spacing w:after="0" w:before="0"/>
              <w:jc w:val="left"/>
            </w:pPr>
            <w:r>
              <w:rPr>
                <w:rFonts w:ascii="Arial" w:cs="Arial" w:eastAsia="Arial" w:hAnsi="Arial"/>
                <w:color w:val="000000"/>
                <w:sz w:val="16"/>
                <w:szCs w:val="16"/>
              </w:rPr>
              <w:t xml:space="preserve">Credentials from ML Configuration Files (AML.T0012.002)</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ZT-66 (short-lived credentials, automatic rotation) ensures stolen credentials have bounded validity. ZT-64 (no implicit trust) requires re-authentication regardless of credential validity. ZT-67 (authenticate-authorize-validate sequence) ensures stolen credentials cannot bypass authorization.</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AAC-DP-09 + ZT-65 + ZT-72</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Discovery (AML.TA0003)</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ML Model Architecture Discovery (AML.T0006)</w:t>
            </w:r>
          </w:p>
          <w:p>
            <w:pPr>
              <w:spacing w:after="0" w:before="0"/>
              <w:jc w:val="left"/>
            </w:pPr>
            <w:r>
              <w:rPr>
                <w:rFonts w:ascii="Arial" w:cs="Arial" w:eastAsia="Arial" w:hAnsi="Arial"/>
                <w:color w:val="000000"/>
                <w:sz w:val="16"/>
                <w:szCs w:val="16"/>
              </w:rPr>
              <w:t xml:space="preserve">Internal Network Discovery (AML.T0013)</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DP-09 (least disclosure) minimizes what the inference API reveals about model architecture and configuration. ZT-65 (least privilege) scopes access to declared task requirements, limiting discovery surface. ZT-72 (network segmentation) prevents internal network discovery from the AI layer.</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AAC-DP-06 + DP-09 + ZT-71</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Collection (AML.TA0010)</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Data from ML Pipeline (AML.T0025)</w:t>
            </w:r>
          </w:p>
          <w:p>
            <w:pPr>
              <w:spacing w:after="0" w:before="0"/>
              <w:jc w:val="left"/>
            </w:pPr>
            <w:r>
              <w:rPr>
                <w:rFonts w:ascii="Arial" w:cs="Arial" w:eastAsia="Arial" w:hAnsi="Arial"/>
                <w:color w:val="000000"/>
                <w:sz w:val="16"/>
                <w:szCs w:val="16"/>
              </w:rPr>
              <w:t xml:space="preserve">Exfiltrate Training Data via Inference (AML.T0024.001)</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DP-06 (collect minimum) limits what training data exists to collect — data that is not stored cannot be exfiltrated. DP-09 (least disclosure) minimizes per-query information revealed. ZT-71 (hostile input validation) constrains agent behavior in response to extraction-oriented inputs.</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AAC-ZT-71 + AO-54 + AO-56</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ML Attack Staging (AML.TA0012)</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Publish Poisoned AI Agent Tool (AML.T0065)</w:t>
            </w:r>
          </w:p>
          <w:p>
            <w:pPr>
              <w:spacing w:after="0" w:before="0"/>
              <w:jc w:val="left"/>
            </w:pPr>
            <w:r>
              <w:rPr>
                <w:rFonts w:ascii="Arial" w:cs="Arial" w:eastAsia="Arial" w:hAnsi="Arial"/>
                <w:color w:val="000000"/>
                <w:sz w:val="16"/>
                <w:szCs w:val="16"/>
              </w:rPr>
              <w:t xml:space="preserve">Create Fraudulent AI Agent (AML.T0072)</w:t>
            </w:r>
          </w:p>
        </w:tc>
        <w:tc>
          <w:tcPr>
            <w:tcW w:type="dxa" w:w="7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6"/>
                <w:szCs w:val="16"/>
              </w:rPr>
              <w:t xml:space="preserve">Partial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ZT-71 (hostile validation) validates all external tool inputs before agent processing. AO-54 (cross-agent isolation) prevents fraudulent agents from inheriting legitimate agent permissions. AO-56 (governed feedback loop) monitors for adversarial signal injection. Runtime verification of tool provider identity (MCP server provenance) is a recognized gap in current AAC version.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AAC-ZT-75 + DA-60 + DP-07</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ML Attack Staging (AML.TA0012)</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Craft Adversarial Data (AML.T0043)</w:t>
            </w:r>
          </w:p>
          <w:p>
            <w:pPr>
              <w:spacing w:after="0" w:before="0"/>
              <w:jc w:val="left"/>
            </w:pPr>
            <w:r>
              <w:rPr>
                <w:rFonts w:ascii="Arial" w:cs="Arial" w:eastAsia="Arial" w:hAnsi="Arial"/>
                <w:color w:val="000000"/>
                <w:sz w:val="16"/>
                <w:szCs w:val="16"/>
              </w:rPr>
              <w:t xml:space="preserve">Insert Malicious Content into Prompt (AML.T0051.001)</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ZT-75 (instruction isolation) treats all crafted adversarial inputs as untrusted data — never executed as system directives. DA-60 (deterministic arbitration) applies the harm assessment and confidence check to outputs derived from adversarial inputs before execution. DP-07 (immutable audit trail) records the full decision chain for forensic reconstruction.</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AAC-DP-06 + DP-09 + ZT-73</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Exfiltration (AML.TA0013)</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Exfiltration via ML Inference API (AML.T0024)</w:t>
            </w:r>
          </w:p>
          <w:p>
            <w:pPr>
              <w:spacing w:after="0" w:before="0"/>
              <w:jc w:val="left"/>
            </w:pPr>
            <w:r>
              <w:rPr>
                <w:rFonts w:ascii="Arial" w:cs="Arial" w:eastAsia="Arial" w:hAnsi="Arial"/>
                <w:color w:val="000000"/>
                <w:sz w:val="16"/>
                <w:szCs w:val="16"/>
              </w:rPr>
              <w:t xml:space="preserve">Model Inversion Attack (AML.T0024.002)</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DP-06 (collect minimum) limits what sensitive data exists in training pipelines. DP-09 (least disclosure) restricts per-query information to task-required fields, raising the query cost of model inversion. ZT-73 (assume breach, contain blast radius) ensures an exploited agent cannot exfiltrate data outside its authorized scope.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AAC-ZT-68 + AO-54 + DA-63</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Exfiltration (AML.TA0013)</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Exfiltration via Agent-to-Agent Channel (AML.T0073)</w:t>
            </w:r>
          </w:p>
          <w:p>
            <w:pPr>
              <w:spacing w:after="0" w:before="0"/>
              <w:jc w:val="left"/>
            </w:pPr>
            <w:r>
              <w:rPr>
                <w:rFonts w:ascii="Arial" w:cs="Arial" w:eastAsia="Arial" w:hAnsi="Arial"/>
                <w:color w:val="000000"/>
                <w:sz w:val="16"/>
                <w:szCs w:val="16"/>
              </w:rPr>
              <w:t xml:space="preserve">Steganographic Exfiltration (AML.T0024.003)</w:t>
            </w:r>
          </w:p>
        </w:tc>
        <w:tc>
          <w:tcPr>
            <w:tcW w:type="dxa" w:w="7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6"/>
                <w:szCs w:val="16"/>
              </w:rPr>
              <w:t xml:space="preserve">Partial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ZT-68 (authenticated propagation) requires mutual authentication on all inter-agent channels, making unauthorized exfiltration channels harder to establish. AO-54 (cross-agent isolation) prevents agents from relaying data outside their authorized scope. DA-63 (centralized enforcement boundary) gates all agent actions through the arbitration layer. Steganographic encoding within authorized outputs is a partial gap.</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AAC-ZT-71 + ZT-75 + AO-54</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Command and Control (AML.TA0015)</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LLM Prompt Self-Replication (AML.T0061)</w:t>
            </w:r>
          </w:p>
          <w:p>
            <w:pPr>
              <w:spacing w:after="0" w:before="0"/>
              <w:jc w:val="left"/>
            </w:pPr>
            <w:r>
              <w:rPr>
                <w:rFonts w:ascii="Arial" w:cs="Arial" w:eastAsia="Arial" w:hAnsi="Arial"/>
                <w:color w:val="000000"/>
                <w:sz w:val="16"/>
                <w:szCs w:val="16"/>
              </w:rPr>
              <w:t xml:space="preserve">C2 via Compromised Agent (AML.T0074)</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ZT-75 (instruction isolation) prevents self-replicating prompts from propagating as system directives. ZT-71 (sandboxed execution) contains adversarial instructions within isolated environments. AO-54 (cross-agent isolation) prevents a compromised agent from issuing control instructions to peer agents.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AAC-RS-39 + OG-25 + AO-51</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Command and Control (AML.TA0015)</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Compromised Agent Behavior (AML.T0075)</w:t>
            </w:r>
          </w:p>
          <w:p>
            <w:pPr>
              <w:spacing w:after="0" w:before="0"/>
              <w:jc w:val="left"/>
            </w:pPr>
            <w:r>
              <w:rPr>
                <w:rFonts w:ascii="Arial" w:cs="Arial" w:eastAsia="Arial" w:hAnsi="Arial"/>
                <w:color w:val="000000"/>
                <w:sz w:val="16"/>
                <w:szCs w:val="16"/>
              </w:rPr>
              <w:t xml:space="preserve">Rogue Agent Deployment (AML.T0076)</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OG-25 (policy enforcement integrity) detects divergence between declared agent behavior and observed runtime behavior — a compromised agent fails this check. AO-51 (self-monitoring) detects anomalous behavioral patterns that indicate C2 activity. RS-39 (system safe mode) activates when system-wide integrity signals indicate compromise.</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AAC-RS-34 + RS-36 + RS-39</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Impact (AML.TA0001)</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Denial of ML Service (AML.T0029)</w:t>
            </w:r>
          </w:p>
          <w:p>
            <w:pPr>
              <w:spacing w:after="0" w:before="0"/>
              <w:jc w:val="left"/>
            </w:pPr>
            <w:r>
              <w:rPr>
                <w:rFonts w:ascii="Arial" w:cs="Arial" w:eastAsia="Arial" w:hAnsi="Arial"/>
                <w:color w:val="000000"/>
                <w:sz w:val="16"/>
                <w:szCs w:val="16"/>
              </w:rPr>
              <w:t xml:space="preserve">Erode ML Model Integrity (AML.T0031)</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RS-34 (no single point of failure) ensures degraded model availability does not halt the system. RS-36 (circuit breakers) prevents sustained denial-of-service from cascading. RS-39 (system safe mode) activates constrained operations when ML service health degrades below defined thresholds.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AAC-DA-59 + DA-60 + AI-10</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Impact (AML.TA0001)</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Functional Extraction of ML Model (AML.T0033)</w:t>
            </w:r>
          </w:p>
          <w:p>
            <w:pPr>
              <w:spacing w:after="0" w:before="0"/>
              <w:jc w:val="left"/>
            </w:pPr>
            <w:r>
              <w:rPr>
                <w:rFonts w:ascii="Arial" w:cs="Arial" w:eastAsia="Arial" w:hAnsi="Arial"/>
                <w:color w:val="000000"/>
                <w:sz w:val="16"/>
                <w:szCs w:val="16"/>
              </w:rPr>
              <w:t xml:space="preserve">ML Model Corruption (AML.T0032)</w:t>
            </w:r>
          </w:p>
        </w:tc>
        <w:tc>
          <w:tcPr>
            <w:tcW w:type="dxa" w:w="7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6"/>
                <w:szCs w:val="16"/>
              </w:rPr>
              <w:t xml:space="preserve">Partial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DA-59 (harm classification) categorizes model corruption as irreversible harm — the highest tier requiring maximum arbitration scrutiny. AI-10 (confidence thresholds) forces escalation when model outputs fall below reliability thresholds, surfacing corruption early. DA-60 (deterministic arbitration) blocks high-risk actions from proceeding on corrupted model outputs. Recovery from model corruption requires backup and recovery capabilities beyond current AAC scope.</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AAC-DNH-0e + AO-51 + TB-29</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Impact (AML.TA0001)</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Targeted Model Poisoning (AML.T0020.002)</w:t>
            </w:r>
          </w:p>
          <w:p>
            <w:pPr>
              <w:spacing w:after="0" w:before="0"/>
              <w:jc w:val="left"/>
            </w:pPr>
            <w:r>
              <w:rPr>
                <w:rFonts w:ascii="Arial" w:cs="Arial" w:eastAsia="Arial" w:hAnsi="Arial"/>
                <w:color w:val="000000"/>
                <w:sz w:val="16"/>
                <w:szCs w:val="16"/>
              </w:rPr>
              <w:t xml:space="preserve">Manipulate ML Model Predictions (AML.T0035)</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DNH-0e (algorithmic harm) requires continuous fairness monitoring — targeted poisoning that introduces systematic bias is detectable against this requirement. AO-51 (self-monitoring) tracks fairness metrics as first-class KPIs alongside accuracy. TB-29 (regression guardrails) catches prediction manipulation against known benchmark inputs before deployment.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AAC-ZT-75 + DA-60 + AO-54</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LLM-Specific (AML.TA0011)</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LLM Prompt Injection (AML.T0051)</w:t>
            </w:r>
          </w:p>
          <w:p>
            <w:pPr>
              <w:spacing w:after="0" w:before="0"/>
              <w:jc w:val="left"/>
            </w:pPr>
            <w:r>
              <w:rPr>
                <w:rFonts w:ascii="Arial" w:cs="Arial" w:eastAsia="Arial" w:hAnsi="Arial"/>
                <w:color w:val="000000"/>
                <w:sz w:val="16"/>
                <w:szCs w:val="16"/>
              </w:rPr>
              <w:t xml:space="preserve">Indirect Prompt Injection (AML.T0054)</w:t>
            </w:r>
          </w:p>
        </w:tc>
        <w:tc>
          <w:tcPr>
            <w:tcW w:type="dxa" w:w="7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6"/>
                <w:szCs w:val="16"/>
              </w:rPr>
              <w:t xml:space="preserve">Full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ZT-75 is the primary AAC control for this technique class. Architectural separation of system prompts from user-supplied content prevents prompt injection at the design level, not the filtering level. DA-60 applies arbitration before executing outputs derived from injected inputs. AO-54 prevents cross-agent injection propagation.</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AAC-ZT-75 + AI-13 + OG-25</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LLM-Specific (AML.TA0011)</w:t>
            </w:r>
          </w:p>
        </w:tc>
        <w:tc>
          <w:tcPr>
            <w:tcW w:type="dxa" w:w="1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LLM Jailbreak (AML.T0054.001)</w:t>
            </w:r>
          </w:p>
          <w:p>
            <w:pPr>
              <w:spacing w:after="0" w:before="0"/>
              <w:jc w:val="left"/>
            </w:pPr>
            <w:r>
              <w:rPr>
                <w:rFonts w:ascii="Arial" w:cs="Arial" w:eastAsia="Arial" w:hAnsi="Arial"/>
                <w:color w:val="000000"/>
                <w:sz w:val="16"/>
                <w:szCs w:val="16"/>
              </w:rPr>
              <w:t xml:space="preserve">Roleplay Persona Injection (AML.T0054.002)</w:t>
            </w:r>
          </w:p>
        </w:tc>
        <w:tc>
          <w:tcPr>
            <w:tcW w:type="dxa" w:w="7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6"/>
                <w:szCs w:val="16"/>
              </w:rPr>
              <w:t xml:space="preserve">Partial</w:t>
            </w:r>
          </w:p>
        </w:tc>
        <w:tc>
          <w:tcPr>
            <w:tcW w:type="dxa" w:w="32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ZT-75 (architectural instruction isolation) is more robust than model-level filtering — jailbreaks that bypass model safety controls cannot override architectural separation. AI-13 (trust calibration) prevents the system from presenting jailbroken outputs as authoritative. OG-25 (policy enforcement integrity) detects behavioral divergence from declared agent constraints. Sophisticated jailbreaks exploiting model-layer vulnerabilities require adversarial training defenses outside AAC scope.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6"/>
                <w:szCs w:val="16"/>
              </w:rPr>
              <w:t xml:space="preserve">AAC-ZT-71 + AO-56 + DP-07</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LLM-Specific (AML.TA0011)</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6"/>
                <w:szCs w:val="16"/>
              </w:rPr>
              <w:t xml:space="preserve">LLM Prompt Self-Replication (AML.T0061)</w:t>
            </w:r>
          </w:p>
          <w:p>
            <w:pPr>
              <w:spacing w:after="0" w:before="0"/>
              <w:jc w:val="left"/>
            </w:pPr>
            <w:r>
              <w:rPr>
                <w:rFonts w:ascii="Arial" w:cs="Arial" w:eastAsia="Arial" w:hAnsi="Arial"/>
                <w:color w:val="000000"/>
                <w:sz w:val="16"/>
                <w:szCs w:val="16"/>
              </w:rPr>
              <w:t xml:space="preserve">Memory Poisoning via Injected Context (AML.T0062)</w:t>
            </w:r>
          </w:p>
        </w:tc>
        <w:tc>
          <w:tcPr>
            <w:tcW w:type="dxa" w:w="7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6"/>
                <w:szCs w:val="16"/>
              </w:rPr>
              <w:t xml:space="preserve">Partial</w:t>
            </w:r>
          </w:p>
        </w:tc>
        <w:tc>
          <w:tcPr>
            <w:tcW w:type="dxa" w:w="3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6"/>
                <w:szCs w:val="16"/>
              </w:rPr>
              <w:t xml:space="preserve">ZT-71 (hostile input validation) validates agent inputs before storage or processing. AO-56 (governed feedback loop) monitors for adversarial signal injection into memory and learning pipelines. DP-07 (immutable audit trail) enables forensic reconstruction of poisoned memory chains. Long-term semantic memory integrity validation is a recognized partial gap.</w:t>
            </w:r>
          </w:p>
        </w:tc>
      </w:tr>
    </w:tbl>
    <w:p>
      <w:r>
        <w:br w:type="page"/>
      </w:r>
    </w:p>
    <w:p>
      <w:pPr>
        <w:pStyle w:val="Heading1"/>
        <w:pBdr>
          <w:bottom w:val="single" w:color="1B3A6B" w:sz="6" w:space="1"/>
        </w:pBdr>
        <w:spacing w:after="140" w:before="320"/>
      </w:pPr>
      <w:r>
        <w:rPr>
          <w:rFonts w:ascii="Arial" w:cs="Arial" w:eastAsia="Arial" w:hAnsi="Arial"/>
          <w:b/>
          <w:bCs/>
          <w:color w:val="1B3A6B"/>
          <w:sz w:val="30"/>
          <w:szCs w:val="30"/>
        </w:rPr>
        <w:t xml:space="preserve">Section 3 — High-Priority Technique Analysis</w:t>
      </w:r>
    </w:p>
    <w:p>
      <w:pPr>
        <w:spacing w:after="140" w:before="0"/>
        <w:jc w:val="left"/>
      </w:pPr>
      <w:r>
        <w:rPr>
          <w:rFonts w:ascii="Arial" w:cs="Arial" w:eastAsia="Arial" w:hAnsi="Arial"/>
          <w:color w:val="000000"/>
          <w:sz w:val="20"/>
          <w:szCs w:val="20"/>
        </w:rPr>
        <w:t xml:space="preserve">This section provides deeper analysis of the five highest-severity ATLAS techniques for agentic AI systems, explaining the specific AAC mitigation chain and its limitations.</w:t>
      </w:r>
    </w:p>
    <w:p>
      <w:pPr>
        <w:spacing w:after="100" w:before="240"/>
      </w:pPr>
      <w:r>
        <w:rPr>
          <w:rFonts w:ascii="Arial" w:cs="Arial" w:eastAsia="Arial" w:hAnsi="Arial"/>
          <w:b/>
          <w:bCs/>
          <w:color w:val="2E5FA3"/>
          <w:sz w:val="24"/>
          <w:szCs w:val="24"/>
        </w:rPr>
        <w:t xml:space="preserve">3.1 — LLM Prompt Injection (AML.T0051) and Indirect Prompt Injection (AML.T0054)</w:t>
      </w:r>
    </w:p>
    <w:p>
      <w:pPr>
        <w:spacing w:after="80" w:before="0"/>
        <w:jc w:val="left"/>
      </w:pPr>
      <w:r>
        <w:rPr>
          <w:rFonts w:ascii="Arial" w:cs="Arial" w:eastAsia="Arial" w:hAnsi="Arial"/>
          <w:color w:val="000000"/>
          <w:sz w:val="19"/>
          <w:szCs w:val="19"/>
        </w:rPr>
        <w:t xml:space="preserve">Prompt injection is the highest-volume AI attack technique in current agentic deployments. Direct injection embeds adversarial instructions in user inputs; indirect injection embeds them in content the agent retrieves or processes autonomously. The EchoLeak incident (CVE-2025-32711) demonstrated how indirect injection via email content caused Microsoft 365 Copilot to silently exfiltrate confidential data.</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1A6B5A" w:sz="12"/>
              <w:bottom w:val="none" w:color="FFFFFF" w:sz="0"/>
              <w:right w:val="none" w:color="FFFFFF" w:sz="0"/>
            </w:tcBorders>
            <w:shd w:fill="D6F0EB" w:val="clear"/>
            <w:tcMar>
              <w:top w:type="dxa" w:w="120"/>
              <w:left w:type="dxa" w:w="180"/>
              <w:bottom w:type="dxa" w:w="120"/>
              <w:right w:type="dxa" w:w="180"/>
            </w:tcMar>
          </w:tcPr>
          <w:p>
            <w:pPr>
              <w:spacing w:after="60" w:before="0"/>
              <w:jc w:val="left"/>
            </w:pPr>
            <w:r>
              <w:rPr>
                <w:rFonts w:ascii="Arial" w:cs="Arial" w:eastAsia="Arial" w:hAnsi="Arial"/>
                <w:b/>
                <w:bCs/>
                <w:color w:val="1A6B5A"/>
                <w:sz w:val="20"/>
                <w:szCs w:val="20"/>
              </w:rPr>
              <w:t xml:space="preserve">AAC Mitigation Chain</w:t>
            </w:r>
          </w:p>
          <w:p>
            <w:pPr>
              <w:spacing w:after="80" w:before="0"/>
              <w:jc w:val="left"/>
            </w:pPr>
            <w:r>
              <w:rPr>
                <w:rFonts w:ascii="Arial" w:cs="Arial" w:eastAsia="Arial" w:hAnsi="Arial"/>
                <w:color w:val="4A4A4A"/>
                <w:sz w:val="19"/>
                <w:szCs w:val="19"/>
              </w:rPr>
              <w:t xml:space="preserve">AAC-ZT-75 is the architectural defense: system prompts and behavioral constraints are isolated from user-supplied or externally-retrieved content at the design level — not enforced through model-level filtering alone. AAC-DA-60 applies the full arbitration sequence before executing any high-risk output, regardless of how the agent reached that output. AAC-AO-54 prevents injected instructions from propagating through multi-agent delegation chains. The combination of architectural isolation (ZT-75), arbitration-layer enforcement (DA-60), and cross-agent isolation (AO-54) provides defense-in-depth against both direct and indirect injection.</w:t>
            </w:r>
          </w:p>
        </w:tc>
      </w:tr>
    </w:tbl>
    <w:p>
      <w:pPr>
        <w:spacing w:after="80" w:before="0"/>
        <w:jc w:val="left"/>
      </w:pPr>
      <w:r>
        <w:rPr>
          <w:rFonts w:ascii="Arial" w:cs="Arial" w:eastAsia="Arial" w:hAnsi="Arial"/>
          <w:color w:val="000000"/>
          <w:sz w:val="20"/>
          <w:szCs w:val="20"/>
        </w:rPr>
        <w:t xml:space="preserve"/>
      </w:r>
    </w:p>
    <w:p>
      <w:pPr>
        <w:spacing w:after="80" w:before="0"/>
        <w:jc w:val="left"/>
      </w:pPr>
      <w:r>
        <w:rPr>
          <w:rFonts w:ascii="Arial" w:cs="Arial" w:eastAsia="Arial" w:hAnsi="Arial"/>
          <w:i/>
          <w:iCs/>
          <w:color w:val="4A4A4A"/>
          <w:sz w:val="18"/>
          <w:szCs w:val="18"/>
        </w:rPr>
        <w:t xml:space="preserve">Limitation: Sophisticated injection payloads that exploit model-layer vulnerabilities (tokenizer manipulation, Unicode encoding attacks) require adversarial training defenses at the model level, which are outside AAC scope.</w:t>
      </w:r>
    </w:p>
    <w:p>
      <w:pPr>
        <w:spacing w:after="140" w:before="0"/>
        <w:jc w:val="left"/>
      </w:pPr>
      <w:r>
        <w:rPr>
          <w:rFonts w:ascii="Arial" w:cs="Arial" w:eastAsia="Arial" w:hAnsi="Arial"/>
          <w:color w:val="000000"/>
          <w:sz w:val="20"/>
          <w:szCs w:val="20"/>
        </w:rPr>
        <w:t xml:space="preserve"/>
      </w:r>
    </w:p>
    <w:p>
      <w:pPr>
        <w:spacing w:after="100" w:before="240"/>
      </w:pPr>
      <w:r>
        <w:rPr>
          <w:rFonts w:ascii="Arial" w:cs="Arial" w:eastAsia="Arial" w:hAnsi="Arial"/>
          <w:b/>
          <w:bCs/>
          <w:color w:val="2E5FA3"/>
          <w:sz w:val="24"/>
          <w:szCs w:val="24"/>
        </w:rPr>
        <w:t xml:space="preserve">3.2 — Backdoor ML Model (AML.T0018) and Poison Training Data (AML.T0020)</w:t>
      </w:r>
    </w:p>
    <w:p>
      <w:pPr>
        <w:spacing w:after="80" w:before="0"/>
        <w:jc w:val="left"/>
      </w:pPr>
      <w:r>
        <w:rPr>
          <w:rFonts w:ascii="Arial" w:cs="Arial" w:eastAsia="Arial" w:hAnsi="Arial"/>
          <w:color w:val="000000"/>
          <w:sz w:val="19"/>
          <w:szCs w:val="19"/>
        </w:rPr>
        <w:t xml:space="preserve">A backdoor embeds a hidden trigger in a model such that it behaves correctly on standard inputs but produces attacker-controlled outputs when a specific trigger is present. Training data poisoning introduces malicious examples into the training pipeline to corrupt model behavior. These techniques can survive standard evaluation because trigger inputs are not in the test set.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1A6B5A" w:sz="12"/>
              <w:bottom w:val="none" w:color="FFFFFF" w:sz="0"/>
              <w:right w:val="none" w:color="FFFFFF" w:sz="0"/>
            </w:tcBorders>
            <w:shd w:fill="D6F0EB" w:val="clear"/>
            <w:tcMar>
              <w:top w:type="dxa" w:w="120"/>
              <w:left w:type="dxa" w:w="180"/>
              <w:bottom w:type="dxa" w:w="120"/>
              <w:right w:type="dxa" w:w="180"/>
            </w:tcMar>
          </w:tcPr>
          <w:p>
            <w:pPr>
              <w:spacing w:after="60" w:before="0"/>
              <w:jc w:val="left"/>
            </w:pPr>
            <w:r>
              <w:rPr>
                <w:rFonts w:ascii="Arial" w:cs="Arial" w:eastAsia="Arial" w:hAnsi="Arial"/>
                <w:b/>
                <w:bCs/>
                <w:color w:val="1A6B5A"/>
                <w:sz w:val="20"/>
                <w:szCs w:val="20"/>
              </w:rPr>
              <w:t xml:space="preserve">AAC Mitigation Chain</w:t>
            </w:r>
          </w:p>
          <w:p>
            <w:pPr>
              <w:spacing w:after="80" w:before="0"/>
              <w:jc w:val="left"/>
            </w:pPr>
            <w:r>
              <w:rPr>
                <w:rFonts w:ascii="Arial" w:cs="Arial" w:eastAsia="Arial" w:hAnsi="Arial"/>
                <w:color w:val="4A4A4A"/>
                <w:sz w:val="19"/>
                <w:szCs w:val="19"/>
              </w:rPr>
              <w:t xml:space="preserve">AAC-TB-29 (regression guardrails) is the primary defense: every model update must meet or exceed the prior accuracy threshold against a defined benchmark dataset. If that benchmark includes adversarial examples designed to expose backdoor behavior, TB-29 catches backdoors before deployment. AAC-AO-56 (governed feedback loop) requires bias review before any training update is applied and monitors for adversarial signal injection in feedback pipelines. AAC-OG-25 (policy enforcement integrity) detects runtime behavioral divergence from declared governance artifacts — a backdoored model will eventually diverge from its specification under sufficiently varied real-world inputs.</w:t>
            </w:r>
          </w:p>
        </w:tc>
      </w:tr>
    </w:tbl>
    <w:p>
      <w:pPr>
        <w:spacing w:after="80" w:before="0"/>
        <w:jc w:val="left"/>
      </w:pPr>
      <w:r>
        <w:rPr>
          <w:rFonts w:ascii="Arial" w:cs="Arial" w:eastAsia="Arial" w:hAnsi="Arial"/>
          <w:color w:val="000000"/>
          <w:sz w:val="20"/>
          <w:szCs w:val="20"/>
        </w:rPr>
        <w:t xml:space="preserve"/>
      </w:r>
    </w:p>
    <w:p>
      <w:pPr>
        <w:spacing w:after="80" w:before="0"/>
        <w:jc w:val="left"/>
      </w:pPr>
      <w:r>
        <w:rPr>
          <w:rFonts w:ascii="Arial" w:cs="Arial" w:eastAsia="Arial" w:hAnsi="Arial"/>
          <w:i/>
          <w:iCs/>
          <w:color w:val="4A4A4A"/>
          <w:sz w:val="18"/>
          <w:szCs w:val="18"/>
        </w:rPr>
        <w:t xml:space="preserve">Limitation: The effectiveness of TB-29 against backdoors depends on the quality of the benchmark dataset. If the benchmark does not include trigger-containing examples, the backdoor will pass the guardrail. Constructing adversarial benchmark examples is a red teaming requirement that must be specified in the Implementation Profile.</w:t>
      </w:r>
    </w:p>
    <w:p>
      <w:pPr>
        <w:spacing w:after="140" w:before="0"/>
        <w:jc w:val="left"/>
      </w:pPr>
      <w:r>
        <w:rPr>
          <w:rFonts w:ascii="Arial" w:cs="Arial" w:eastAsia="Arial" w:hAnsi="Arial"/>
          <w:color w:val="000000"/>
          <w:sz w:val="20"/>
          <w:szCs w:val="20"/>
        </w:rPr>
        <w:t xml:space="preserve"/>
      </w:r>
    </w:p>
    <w:p>
      <w:pPr>
        <w:spacing w:after="100" w:before="240"/>
      </w:pPr>
      <w:r>
        <w:rPr>
          <w:rFonts w:ascii="Arial" w:cs="Arial" w:eastAsia="Arial" w:hAnsi="Arial"/>
          <w:b/>
          <w:bCs/>
          <w:color w:val="2E5FA3"/>
          <w:sz w:val="24"/>
          <w:szCs w:val="24"/>
        </w:rPr>
        <w:t xml:space="preserve">3.3 — Compromise ML Software Dependencies (AML.T0048)</w:t>
      </w:r>
    </w:p>
    <w:p>
      <w:pPr>
        <w:spacing w:after="80" w:before="0"/>
        <w:jc w:val="left"/>
      </w:pPr>
      <w:r>
        <w:rPr>
          <w:rFonts w:ascii="Arial" w:cs="Arial" w:eastAsia="Arial" w:hAnsi="Arial"/>
          <w:color w:val="000000"/>
          <w:sz w:val="19"/>
          <w:szCs w:val="19"/>
        </w:rPr>
        <w:t xml:space="preserve">Supply chain attacks targeting ML dependencies — training frameworks, inference servers, vector database clients, ML utility libraries — are among the highest-likelihood initial access vectors for AI systems. The LiteLLM supply chain attack (March 2026) and the TeamPCP campaign demonstrate how a single compromised dependency with broad adoption produces a large blast radius across the AI ecosystem.</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1A6B5A" w:sz="12"/>
              <w:bottom w:val="none" w:color="FFFFFF" w:sz="0"/>
              <w:right w:val="none" w:color="FFFFFF" w:sz="0"/>
            </w:tcBorders>
            <w:shd w:fill="D6F0EB" w:val="clear"/>
            <w:tcMar>
              <w:top w:type="dxa" w:w="120"/>
              <w:left w:type="dxa" w:w="180"/>
              <w:bottom w:type="dxa" w:w="120"/>
              <w:right w:type="dxa" w:w="180"/>
            </w:tcMar>
          </w:tcPr>
          <w:p>
            <w:pPr>
              <w:spacing w:after="60" w:before="0"/>
              <w:jc w:val="left"/>
            </w:pPr>
            <w:r>
              <w:rPr>
                <w:rFonts w:ascii="Arial" w:cs="Arial" w:eastAsia="Arial" w:hAnsi="Arial"/>
                <w:b/>
                <w:bCs/>
                <w:color w:val="1A6B5A"/>
                <w:sz w:val="20"/>
                <w:szCs w:val="20"/>
              </w:rPr>
              <w:t xml:space="preserve">AAC Mitigation Chain</w:t>
            </w:r>
          </w:p>
          <w:p>
            <w:pPr>
              <w:spacing w:after="80" w:before="0"/>
              <w:jc w:val="left"/>
            </w:pPr>
            <w:r>
              <w:rPr>
                <w:rFonts w:ascii="Arial" w:cs="Arial" w:eastAsia="Arial" w:hAnsi="Arial"/>
                <w:color w:val="4A4A4A"/>
                <w:sz w:val="19"/>
                <w:szCs w:val="19"/>
              </w:rPr>
              <w:t xml:space="preserve">AAC-OG-24 (governance as code) requires versioned, audited dependency references as first-class governance artifacts — unauthorized dependency changes are detectable through CI/CD integration. AAC-ZT-71 (hostile input validation) validates all inputs from external sources before agent processing, limiting what a compromised dependency can inject. AAC-AO-56 (governed feedback loop) monitors for anomalous signal patterns that may indicate dependency compromise. AAC-ZT-73 (assume breach, contain blast radius) limits the lateral movement available to an attacker who has compromised a dependency.</w:t>
            </w:r>
          </w:p>
        </w:tc>
      </w:tr>
    </w:tbl>
    <w:p>
      <w:pPr>
        <w:spacing w:after="80" w:before="0"/>
        <w:jc w:val="left"/>
      </w:pPr>
      <w:r>
        <w:rPr>
          <w:rFonts w:ascii="Arial" w:cs="Arial" w:eastAsia="Arial" w:hAnsi="Arial"/>
          <w:color w:val="000000"/>
          <w:sz w:val="20"/>
          <w:szCs w:val="20"/>
        </w:rPr>
        <w:t xml:space="preserve"/>
      </w:r>
    </w:p>
    <w:p>
      <w:pPr>
        <w:spacing w:after="80" w:before="0"/>
        <w:jc w:val="left"/>
      </w:pPr>
      <w:r>
        <w:rPr>
          <w:rFonts w:ascii="Arial" w:cs="Arial" w:eastAsia="Arial" w:hAnsi="Arial"/>
          <w:i/>
          <w:iCs/>
          <w:color w:val="4A4A4A"/>
          <w:sz w:val="18"/>
          <w:szCs w:val="18"/>
        </w:rPr>
        <w:t xml:space="preserve">Limitation: Dynamic runtime supply chain integrity — verifying MCP server identity, tool descriptor integrity, and AI agent tool provenance at runtime rather than at deployment — is a recognized gap in the current AAC version. This is the only partial gap in OWASP ASI04 coverage and the highest-priority area for a future AAC control.</w:t>
      </w:r>
    </w:p>
    <w:p>
      <w:pPr>
        <w:spacing w:after="140" w:before="0"/>
        <w:jc w:val="left"/>
      </w:pPr>
      <w:r>
        <w:rPr>
          <w:rFonts w:ascii="Arial" w:cs="Arial" w:eastAsia="Arial" w:hAnsi="Arial"/>
          <w:color w:val="000000"/>
          <w:sz w:val="20"/>
          <w:szCs w:val="20"/>
        </w:rPr>
        <w:t xml:space="preserve"/>
      </w:r>
    </w:p>
    <w:p>
      <w:pPr>
        <w:spacing w:after="100" w:before="240"/>
      </w:pPr>
      <w:r>
        <w:rPr>
          <w:rFonts w:ascii="Arial" w:cs="Arial" w:eastAsia="Arial" w:hAnsi="Arial"/>
          <w:b/>
          <w:bCs/>
          <w:color w:val="2E5FA3"/>
          <w:sz w:val="24"/>
          <w:szCs w:val="24"/>
        </w:rPr>
        <w:t xml:space="preserve">3.4 — Cost Harvesting (AML.T0034) and Excessive API Requests (AML.T0036)</w:t>
      </w:r>
    </w:p>
    <w:p>
      <w:pPr>
        <w:spacing w:after="80" w:before="0"/>
        <w:jc w:val="left"/>
      </w:pPr>
      <w:r>
        <w:rPr>
          <w:rFonts w:ascii="Arial" w:cs="Arial" w:eastAsia="Arial" w:hAnsi="Arial"/>
          <w:color w:val="000000"/>
          <w:sz w:val="19"/>
          <w:szCs w:val="19"/>
        </w:rPr>
        <w:t xml:space="preserve">Cost harvesting attacks send high-volume or computationally expensive queries to AI model APIs to generate excessive costs for the operator (denial of wallet) or degrade availability through resource exhaustion. For metered cloud deployments, this is a financial attack as much as an availability attack.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1A6B5A" w:sz="12"/>
              <w:bottom w:val="none" w:color="FFFFFF" w:sz="0"/>
              <w:right w:val="none" w:color="FFFFFF" w:sz="0"/>
            </w:tcBorders>
            <w:shd w:fill="D6F0EB" w:val="clear"/>
            <w:tcMar>
              <w:top w:type="dxa" w:w="120"/>
              <w:left w:type="dxa" w:w="180"/>
              <w:bottom w:type="dxa" w:w="120"/>
              <w:right w:type="dxa" w:w="180"/>
            </w:tcMar>
          </w:tcPr>
          <w:p>
            <w:pPr>
              <w:spacing w:after="60" w:before="0"/>
              <w:jc w:val="left"/>
            </w:pPr>
            <w:r>
              <w:rPr>
                <w:rFonts w:ascii="Arial" w:cs="Arial" w:eastAsia="Arial" w:hAnsi="Arial"/>
                <w:b/>
                <w:bCs/>
                <w:color w:val="1A6B5A"/>
                <w:sz w:val="20"/>
                <w:szCs w:val="20"/>
              </w:rPr>
              <w:t xml:space="preserve">AAC Mitigation Chain</w:t>
            </w:r>
          </w:p>
          <w:p>
            <w:pPr>
              <w:spacing w:after="80" w:before="0"/>
              <w:jc w:val="left"/>
            </w:pPr>
            <w:r>
              <w:rPr>
                <w:rFonts w:ascii="Arial" w:cs="Arial" w:eastAsia="Arial" w:hAnsi="Arial"/>
                <w:color w:val="4A4A4A"/>
                <w:sz w:val="19"/>
                <w:szCs w:val="19"/>
              </w:rPr>
              <w:t xml:space="preserve">AAC-AO-58 (resource constraint and consumption governance) is the primary defense: every agent deployment specifies compute budgets, API quotas, memory limits, and execution time bounds. Approaching a defined resource threshold triggers automatic degradation under AAC-AI-10. AAC-RS-36 (circuit breakers) fast-fails requests from services exhibiting sustained high-volume behavior. AAC-RS-39 (system safe mode) activates when API consumption patterns trigger health threshold breaches. This combination means a cost harvesting attack degrades the attacker's own effectiveness as consumption approaches defined limits.</w:t>
            </w:r>
          </w:p>
        </w:tc>
      </w:tr>
    </w:tbl>
    <w:p>
      <w:pPr>
        <w:spacing w:after="140" w:before="0"/>
        <w:jc w:val="left"/>
      </w:pPr>
      <w:r>
        <w:rPr>
          <w:rFonts w:ascii="Arial" w:cs="Arial" w:eastAsia="Arial" w:hAnsi="Arial"/>
          <w:color w:val="000000"/>
          <w:sz w:val="20"/>
          <w:szCs w:val="20"/>
        </w:rPr>
        <w:t xml:space="preserve"/>
      </w:r>
    </w:p>
    <w:p>
      <w:pPr>
        <w:spacing w:after="100" w:before="240"/>
      </w:pPr>
      <w:r>
        <w:rPr>
          <w:rFonts w:ascii="Arial" w:cs="Arial" w:eastAsia="Arial" w:hAnsi="Arial"/>
          <w:b/>
          <w:bCs/>
          <w:color w:val="2E5FA3"/>
          <w:sz w:val="24"/>
          <w:szCs w:val="24"/>
        </w:rPr>
        <w:t xml:space="preserve">3.5 — Agent Permission Escalation and Self-Assigned Trust Elevation (AML.T0069, T0071)</w:t>
      </w:r>
    </w:p>
    <w:p>
      <w:pPr>
        <w:spacing w:after="80" w:before="0"/>
        <w:jc w:val="left"/>
      </w:pPr>
      <w:r>
        <w:rPr>
          <w:rFonts w:ascii="Arial" w:cs="Arial" w:eastAsia="Arial" w:hAnsi="Arial"/>
          <w:color w:val="000000"/>
          <w:sz w:val="19"/>
          <w:szCs w:val="19"/>
        </w:rPr>
        <w:t xml:space="preserve">These techniques, added in the October 2025 ATLAS expansion through Zenity Labs collaboration, represent agent-specific privilege escalation: an adversary manipulates an agent to expand its own permissions via prompt injection, or causes an agent to self-assign elevated trust tiers. These are among the most dangerous techniques in agentic systems because they can amplify every other attack technique.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1A6B5A" w:sz="12"/>
              <w:bottom w:val="none" w:color="FFFFFF" w:sz="0"/>
              <w:right w:val="none" w:color="FFFFFF" w:sz="0"/>
            </w:tcBorders>
            <w:shd w:fill="D6F0EB" w:val="clear"/>
            <w:tcMar>
              <w:top w:type="dxa" w:w="120"/>
              <w:left w:type="dxa" w:w="180"/>
              <w:bottom w:type="dxa" w:w="120"/>
              <w:right w:type="dxa" w:w="180"/>
            </w:tcMar>
          </w:tcPr>
          <w:p>
            <w:pPr>
              <w:spacing w:after="60" w:before="0"/>
              <w:jc w:val="left"/>
            </w:pPr>
            <w:r>
              <w:rPr>
                <w:rFonts w:ascii="Arial" w:cs="Arial" w:eastAsia="Arial" w:hAnsi="Arial"/>
                <w:b/>
                <w:bCs/>
                <w:color w:val="1A6B5A"/>
                <w:sz w:val="20"/>
                <w:szCs w:val="20"/>
              </w:rPr>
              <w:t xml:space="preserve">AAC Mitigation Chain</w:t>
            </w:r>
          </w:p>
          <w:p>
            <w:pPr>
              <w:spacing w:after="80" w:before="0"/>
              <w:jc w:val="left"/>
            </w:pPr>
            <w:r>
              <w:rPr>
                <w:rFonts w:ascii="Arial" w:cs="Arial" w:eastAsia="Arial" w:hAnsi="Arial"/>
                <w:color w:val="4A4A4A"/>
                <w:sz w:val="19"/>
                <w:szCs w:val="19"/>
              </w:rPr>
              <w:t xml:space="preserve">AAC-AO-52 (explicit trust tiers) is the primary architectural defense: trust tiers are human-assigned governance decisions recorded as versioned artifacts — no agent may self-assign a trust tier, and no prompt can override this assignment. AAC-AO-53 (dynamic trust adjustment) makes downgrade automatic on performance breach but requires affirmative governance approval for upgrades. AAC-DA-62 (confidence enforcement at arbitration layer) prevents agents from self-certifying elevated authority to bypass their own guardrails. AAC-AO-54 (cross-agent isolation) ensures that even if one agent's permissions are escalated, it cannot propagate that escalation to peer agents.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40"/>
              <w:left w:type="dxa" w:w="180"/>
              <w:bottom w:type="dxa" w:w="140"/>
              <w:right w:type="dxa" w:w="180"/>
            </w:tcMar>
          </w:tcPr>
          <w:p>
            <w:pPr>
              <w:spacing w:after="80" w:before="0"/>
              <w:jc w:val="left"/>
            </w:pPr>
            <w:r>
              <w:rPr>
                <w:rFonts w:ascii="Arial" w:cs="Arial" w:eastAsia="Arial" w:hAnsi="Arial"/>
                <w:b/>
                <w:bCs/>
                <w:color w:val="1B3A6B"/>
                <w:sz w:val="20"/>
                <w:szCs w:val="20"/>
              </w:rPr>
              <w:t xml:space="preserve">References</w:t>
            </w:r>
          </w:p>
          <w:p>
            <w:pPr>
              <w:spacing w:after="40" w:before="0"/>
              <w:jc w:val="left"/>
            </w:pPr>
            <w:r>
              <w:rPr>
                <w:rFonts w:ascii="Arial" w:cs="Arial" w:eastAsia="Arial" w:hAnsi="Arial"/>
                <w:color w:val="000000"/>
                <w:sz w:val="18"/>
                <w:szCs w:val="18"/>
              </w:rPr>
              <w:t xml:space="preserve">Autonomous Agentic Covenant v1.3: Thakuri, R. (2026). CC BY 4.0.</w:t>
            </w:r>
          </w:p>
          <w:p>
            <w:pPr>
              <w:spacing w:after="40" w:before="0"/>
              <w:jc w:val="left"/>
            </w:pPr>
            <w:r>
              <w:rPr>
                <w:rFonts w:ascii="Arial" w:cs="Arial" w:eastAsia="Arial" w:hAnsi="Arial"/>
                <w:color w:val="000000"/>
                <w:sz w:val="18"/>
                <w:szCs w:val="18"/>
              </w:rPr>
              <w:t xml:space="preserve">MITRE ATLAS v5.4.0: MITRE Corporation (2026). Adversarial Threat Landscape for Artificial-Intelligence Systems. atlas.mitre.org</w:t>
            </w:r>
          </w:p>
          <w:p>
            <w:pPr>
              <w:spacing w:after="40" w:before="0"/>
              <w:jc w:val="left"/>
            </w:pPr>
            <w:r>
              <w:rPr>
                <w:rFonts w:ascii="Arial" w:cs="Arial" w:eastAsia="Arial" w:hAnsi="Arial"/>
                <w:color w:val="000000"/>
                <w:sz w:val="18"/>
                <w:szCs w:val="18"/>
              </w:rPr>
              <w:t xml:space="preserve">AAC Framework Crosswalk v1.0 (CSA ATF · OWASP · NIST AI RMF): Thakuri, R. (2026). CC BY 4.0. Companion document to this crosswalk.</w:t>
            </w:r>
          </w:p>
          <w:p>
            <w:pPr>
              <w:spacing w:after="40" w:before="0"/>
              <w:jc w:val="left"/>
            </w:pPr>
            <w:r>
              <w:rPr>
                <w:rFonts w:ascii="Arial" w:cs="Arial" w:eastAsia="Arial" w:hAnsi="Arial"/>
                <w:color w:val="000000"/>
                <w:sz w:val="18"/>
                <w:szCs w:val="18"/>
              </w:rPr>
              <w:t xml:space="preserve">AAC Future Enhancements Register v1.0: Thakuri, R. (2026). Gap analysis and candidate future controls derived from ATLAS technique coverage assessment. Internal working document.</w:t>
            </w:r>
          </w:p>
          <w:p>
            <w:pPr>
              <w:spacing w:after="80" w:before="0"/>
              <w:jc w:val="left"/>
            </w:pPr>
            <w:r>
              <w:rPr>
                <w:rFonts w:ascii="Arial" w:cs="Arial" w:eastAsia="Arial" w:hAnsi="Arial"/>
                <w:i/>
                <w:iCs/>
                <w:color w:val="4A4A4A"/>
                <w:sz w:val="17"/>
                <w:szCs w:val="17"/>
              </w:rPr>
              <w:t xml:space="preserve">MITRE ATLAS v5.4.0 added techniques: 'Publish Poisoned AI Agent Tool' (AML.T0065), 'Escape to Host' (AML.T0066), agent permission escalation techniques (AML.T0069, AML.T0071). v5.3.0 case studies cover MCP server compromise scenarios.</w:t>
            </w:r>
          </w:p>
        </w:tc>
      </w:tr>
    </w:tbl>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A4A4A"/>
        <w:sz w:val="17"/>
        <w:szCs w:val="17"/>
      </w:rPr>
      <w:t xml:space="preserve">AAC v1.3 · MITRE ATLAS Threat Mitigation Crosswalk  ·  CC BY 4.0  ·  Raj Thakuri  ·  Page </w:t>
    </w:r>
    <w:r>
      <w:rPr>
        <w:rFonts w:ascii="Arial" w:cs="Arial" w:eastAsia="Arial" w:hAnsi="Arial"/>
        <w:color w:val="4A4A4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B3A6B"/>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2E5FA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2026-04-12T00:08:51.768Z</dcterms:created>
  <dcterms:modified xsi:type="dcterms:W3CDTF">2026-04-12T00:08:51.769Z</dcterms:modified>
</cp:coreProperties>
</file>

<file path=docProps/custom.xml><?xml version="1.0" encoding="utf-8"?>
<Properties xmlns="http://schemas.openxmlformats.org/officeDocument/2006/custom-properties" xmlns:vt="http://schemas.openxmlformats.org/officeDocument/2006/docPropsVTypes"/>
</file>