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3A6B" w:val="clear"/>
            <w:tcMar>
              <w:top w:type="dxa" w:w="400"/>
              <w:left w:type="dxa" w:w="400"/>
              <w:bottom w:type="dxa" w:w="400"/>
              <w:right w:type="dxa" w:w="400"/>
            </w:tcMar>
          </w:tcPr>
          <w:p>
            <w:pPr>
              <w:spacing w:after="100" w:before="0"/>
            </w:pPr>
            <w:r>
              <w:rPr>
                <w:rFonts w:ascii="Arial" w:cs="Arial" w:eastAsia="Arial" w:hAnsi="Arial"/>
                <w:b/>
                <w:bCs/>
                <w:color w:val="AACCEE"/>
                <w:sz w:val="26"/>
                <w:szCs w:val="26"/>
              </w:rPr>
              <w:t xml:space="preserve">AUTONOMOUS AGENTIC COVENANT</w:t>
            </w:r>
          </w:p>
          <w:p>
            <w:pPr>
              <w:spacing w:after="160" w:before="0"/>
            </w:pPr>
            <w:r>
              <w:rPr>
                <w:rFonts w:ascii="Arial" w:cs="Arial" w:eastAsia="Arial" w:hAnsi="Arial"/>
                <w:b/>
                <w:bCs/>
                <w:color w:val="FFFFFF"/>
                <w:sz w:val="52"/>
                <w:szCs w:val="52"/>
              </w:rPr>
              <w:t xml:space="preserve">Framework Crosswalk</w:t>
            </w:r>
          </w:p>
          <w:p>
            <w:pPr>
              <w:spacing w:after="120" w:before="0"/>
            </w:pPr>
            <w:r>
              <w:rPr>
                <w:rFonts w:ascii="Arial" w:cs="Arial" w:eastAsia="Arial" w:hAnsi="Arial"/>
                <w:i/>
                <w:iCs/>
                <w:color w:val="AACCEE"/>
                <w:sz w:val="22"/>
                <w:szCs w:val="22"/>
              </w:rPr>
              <w:t xml:space="preserve">Mapping AAC v1.3 to CSA Agentic Trust Framework · OWASP Agentic Top 10 · NIST AI RMF 1.0</w:t>
            </w:r>
          </w:p>
          <w:p>
            <w:pPr>
              <w:spacing w:after="80" w:before="0"/>
            </w:pPr>
            <w:r>
              <w:rPr>
                <w:rFonts w:ascii="Arial" w:cs="Arial" w:eastAsia="Arial" w:hAnsi="Arial"/>
                <w:color w:val="AACCEE"/>
                <w:sz w:val="20"/>
                <w:szCs w:val="20"/>
              </w:rPr>
              <w:t xml:space="preserve">Version 1.0  ·  April 2026  ·  Raj Thakuri</w:t>
            </w:r>
          </w:p>
          <w:p>
            <w:pPr>
              <w:spacing w:after="0" w:before="0"/>
            </w:pPr>
            <w:r>
              <w:rPr>
                <w:rFonts w:ascii="Arial" w:cs="Arial" w:eastAsia="Arial" w:hAnsi="Arial"/>
                <w:color w:val="AACCEE"/>
                <w:sz w:val="19"/>
                <w:szCs w:val="19"/>
              </w:rPr>
              <w:t xml:space="preserve">Licensed under CC BY 4.0  ·  https://creativecommons.org/licenses/by/4.0/</w:t>
            </w:r>
          </w:p>
        </w:tc>
      </w:tr>
    </w:tbl>
    <w:p>
      <w:pPr>
        <w:spacing w:after="160" w:before="0"/>
        <w:jc w:val="left"/>
      </w:pPr>
      <w:r>
        <w:rPr>
          <w:rFonts w:ascii="Arial" w:cs="Arial" w:eastAsia="Arial" w:hAnsi="Arial"/>
          <w:color w:val="000000"/>
          <w:sz w:val="20"/>
          <w:szCs w:val="20"/>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9"/>
                <w:szCs w:val="19"/>
              </w:rPr>
              <w:t xml:space="preserve">● Full Coverage</w:t>
            </w:r>
          </w:p>
        </w:tc>
        <w:tc>
          <w:tcPr>
            <w:tcW w:type="dxa" w:w="234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9"/>
                <w:szCs w:val="19"/>
              </w:rPr>
              <w:t xml:space="preserve">◑ Partial Coverage</w:t>
            </w:r>
          </w:p>
        </w:tc>
        <w:tc>
          <w:tcPr>
            <w:tcW w:type="dxa" w:w="2340"/>
            <w:tcBorders>
              <w:top w:val="single" w:color="CCCCCC" w:sz="1"/>
              <w:left w:val="single" w:color="CCCCCC" w:sz="1"/>
              <w:bottom w:val="single" w:color="CCCCCC" w:sz="1"/>
              <w:right w:val="single" w:color="CCCCCC" w:sz="1"/>
            </w:tcBorders>
            <w:shd w:fill="F7D6D6" w:val="clear"/>
            <w:tcMar>
              <w:top w:type="dxa" w:w="60"/>
              <w:left w:type="dxa" w:w="100"/>
              <w:bottom w:type="dxa" w:w="60"/>
              <w:right w:type="dxa" w:w="100"/>
            </w:tcMar>
          </w:tcPr>
          <w:p>
            <w:pPr>
              <w:spacing w:after="80" w:before="0"/>
              <w:jc w:val="left"/>
            </w:pPr>
            <w:r>
              <w:rPr>
                <w:rFonts w:ascii="Arial" w:cs="Arial" w:eastAsia="Arial" w:hAnsi="Arial"/>
                <w:b/>
                <w:bCs/>
                <w:color w:val="8B1A1A"/>
                <w:sz w:val="19"/>
                <w:szCs w:val="19"/>
              </w:rPr>
              <w:t xml:space="preserve">○ Gap — not addressed</w:t>
            </w:r>
          </w:p>
        </w:tc>
        <w:tc>
          <w:tcPr>
            <w:tcW w:type="dxa" w:w="234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4A4A4A"/>
                <w:sz w:val="19"/>
                <w:szCs w:val="19"/>
              </w:rPr>
              <w:t xml:space="preserve">— Not applicable</w:t>
            </w:r>
          </w:p>
        </w:tc>
      </w:tr>
    </w:tbl>
    <w:p>
      <w:pPr>
        <w:spacing w:after="140" w:before="0"/>
        <w:jc w:val="left"/>
      </w:pPr>
      <w:r>
        <w:rPr>
          <w:rFonts w:ascii="Arial" w:cs="Arial" w:eastAsia="Arial" w:hAnsi="Arial"/>
          <w:color w:val="000000"/>
          <w:sz w:val="20"/>
          <w:szCs w:val="20"/>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1A6B5A" w:sz="12"/>
              <w:bottom w:val="none" w:color="FFFFFF" w:sz="0"/>
              <w:right w:val="none" w:color="FFFFFF" w:sz="0"/>
            </w:tcBorders>
            <w:shd w:fill="D6F0EB" w:val="clear"/>
            <w:tcMar>
              <w:top w:type="dxa" w:w="140"/>
              <w:left w:type="dxa" w:w="180"/>
              <w:bottom w:type="dxa" w:w="140"/>
              <w:right w:type="dxa" w:w="180"/>
            </w:tcMar>
          </w:tcPr>
          <w:p>
            <w:pPr>
              <w:spacing w:after="80" w:before="0"/>
              <w:jc w:val="left"/>
            </w:pPr>
            <w:r>
              <w:rPr>
                <w:rFonts w:ascii="Arial" w:cs="Arial" w:eastAsia="Arial" w:hAnsi="Arial"/>
                <w:b/>
                <w:bCs/>
                <w:color w:val="1A6B5A"/>
                <w:sz w:val="22"/>
                <w:szCs w:val="22"/>
              </w:rPr>
              <w:t xml:space="preserve">Purpose of This Document</w:t>
            </w:r>
          </w:p>
          <w:p>
            <w:pPr>
              <w:spacing w:after="80" w:before="0"/>
              <w:jc w:val="left"/>
            </w:pPr>
            <w:r>
              <w:rPr>
                <w:rFonts w:ascii="Arial" w:cs="Arial" w:eastAsia="Arial" w:hAnsi="Arial"/>
                <w:color w:val="000000"/>
                <w:sz w:val="20"/>
                <w:szCs w:val="20"/>
              </w:rPr>
              <w:t xml:space="preserve">This crosswalk demonstrates how the Autonomous Agentic Covenant (AAC) v1.3 aligns with three leading agentic AI governance and security frameworks. It is designed for security teams evaluating the AAC against existing compliance obligations, architects assessing coverage gaps, and governance teams building the case for AAC adoption alongside existing framework investments.</w:t>
            </w:r>
          </w:p>
          <w:p>
            <w:pPr>
              <w:spacing w:after="80" w:before="0"/>
              <w:jc w:val="left"/>
            </w:pPr>
            <w:r>
              <w:rPr>
                <w:rFonts w:ascii="Arial" w:cs="Arial" w:eastAsia="Arial" w:hAnsi="Arial"/>
                <w:color w:val="000000"/>
                <w:sz w:val="20"/>
                <w:szCs w:val="20"/>
              </w:rPr>
              <w:t xml:space="preserve">Coverage ratings reflect conceptual and functional alignment, not formal certification. 'Full' coverage means the AAC principle directly addresses the external framework control with equivalent or greater specificity. 'Partial' means directional alignment with notable differences in scope or mechanism. 'Gap' means the AAC does not currently address the external control.</w:t>
            </w:r>
          </w:p>
        </w:tc>
      </w:tr>
    </w:tbl>
    <w:p>
      <w:pPr>
        <w:spacing w:after="140" w:before="0"/>
        <w:jc w:val="left"/>
      </w:pPr>
      <w:r>
        <w:rPr>
          <w:rFonts w:ascii="Arial" w:cs="Arial" w:eastAsia="Arial" w:hAnsi="Arial"/>
          <w:color w:val="000000"/>
          <w:sz w:val="20"/>
          <w:szCs w:val="20"/>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360"/>
        <w:gridCol w:w="1500"/>
        <w:gridCol w:w="1500"/>
        <w:gridCol w:w="1500"/>
        <w:gridCol w:w="1500"/>
      </w:tblGrid>
      <w:tr>
        <w:tc>
          <w:tcPr>
            <w:tcW w:type="dxa" w:w="336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9"/>
                <w:szCs w:val="19"/>
              </w:rPr>
              <w:t xml:space="preserve">Framework</w:t>
            </w:r>
          </w:p>
        </w:tc>
        <w:tc>
          <w:tcPr>
            <w:tcW w:type="dxa" w:w="15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center"/>
            </w:pPr>
            <w:r>
              <w:rPr>
                <w:rFonts w:ascii="Arial" w:cs="Arial" w:eastAsia="Arial" w:hAnsi="Arial"/>
                <w:b/>
                <w:bCs/>
                <w:color w:val="FFFFFF"/>
                <w:sz w:val="19"/>
                <w:szCs w:val="19"/>
              </w:rPr>
              <w:t xml:space="preserve">Full</w:t>
            </w:r>
          </w:p>
        </w:tc>
        <w:tc>
          <w:tcPr>
            <w:tcW w:type="dxa" w:w="15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center"/>
            </w:pPr>
            <w:r>
              <w:rPr>
                <w:rFonts w:ascii="Arial" w:cs="Arial" w:eastAsia="Arial" w:hAnsi="Arial"/>
                <w:b/>
                <w:bCs/>
                <w:color w:val="FFFFFF"/>
                <w:sz w:val="19"/>
                <w:szCs w:val="19"/>
              </w:rPr>
              <w:t xml:space="preserve">Partial</w:t>
            </w:r>
          </w:p>
        </w:tc>
        <w:tc>
          <w:tcPr>
            <w:tcW w:type="dxa" w:w="15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center"/>
            </w:pPr>
            <w:r>
              <w:rPr>
                <w:rFonts w:ascii="Arial" w:cs="Arial" w:eastAsia="Arial" w:hAnsi="Arial"/>
                <w:b/>
                <w:bCs/>
                <w:color w:val="FFFFFF"/>
                <w:sz w:val="19"/>
                <w:szCs w:val="19"/>
              </w:rPr>
              <w:t xml:space="preserve">Gap</w:t>
            </w:r>
          </w:p>
        </w:tc>
        <w:tc>
          <w:tcPr>
            <w:tcW w:type="dxa" w:w="15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center"/>
            </w:pPr>
            <w:r>
              <w:rPr>
                <w:rFonts w:ascii="Arial" w:cs="Arial" w:eastAsia="Arial" w:hAnsi="Arial"/>
                <w:b/>
                <w:bCs/>
                <w:color w:val="FFFFFF"/>
                <w:sz w:val="19"/>
                <w:szCs w:val="19"/>
              </w:rPr>
              <w:t xml:space="preserve">Overall</w:t>
            </w:r>
          </w:p>
        </w:tc>
      </w:tr>
      <w:tr>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9"/>
                <w:szCs w:val="19"/>
              </w:rPr>
              <w:t xml:space="preserve">CSA Agentic Trust Framework (ATF)</w:t>
            </w:r>
          </w:p>
        </w:tc>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center"/>
            </w:pPr>
            <w:r>
              <w:rPr>
                <w:rFonts w:ascii="Arial" w:cs="Arial" w:eastAsia="Arial" w:hAnsi="Arial"/>
                <w:color w:val="000000"/>
                <w:sz w:val="19"/>
                <w:szCs w:val="19"/>
              </w:rPr>
              <w:t xml:space="preserve">27</w:t>
            </w:r>
          </w:p>
        </w:tc>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center"/>
            </w:pPr>
            <w:r>
              <w:rPr>
                <w:rFonts w:ascii="Arial" w:cs="Arial" w:eastAsia="Arial" w:hAnsi="Arial"/>
                <w:color w:val="000000"/>
                <w:sz w:val="19"/>
                <w:szCs w:val="19"/>
              </w:rPr>
              <w:t xml:space="preserve">18</w:t>
            </w:r>
          </w:p>
        </w:tc>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center"/>
            </w:pPr>
            <w:r>
              <w:rPr>
                <w:rFonts w:ascii="Arial" w:cs="Arial" w:eastAsia="Arial" w:hAnsi="Arial"/>
                <w:color w:val="000000"/>
                <w:sz w:val="19"/>
                <w:szCs w:val="19"/>
              </w:rPr>
              <w:t xml:space="preserve">11</w:t>
            </w:r>
          </w:p>
        </w:tc>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9"/>
                <w:szCs w:val="19"/>
              </w:rPr>
              <w:t xml:space="preserve">Strong — ZT and trust graduation dominant</w:t>
            </w:r>
          </w:p>
        </w:tc>
      </w:tr>
      <w:tr>
        <w:tc>
          <w:tcPr>
            <w:tcW w:type="dxa" w:w="3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9"/>
                <w:szCs w:val="19"/>
              </w:rPr>
              <w:t xml:space="preserve">OWASP Agentic Top 10 (ASI01–10)</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center"/>
            </w:pPr>
            <w:r>
              <w:rPr>
                <w:rFonts w:ascii="Arial" w:cs="Arial" w:eastAsia="Arial" w:hAnsi="Arial"/>
                <w:color w:val="000000"/>
                <w:sz w:val="19"/>
                <w:szCs w:val="19"/>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center"/>
            </w:pPr>
            <w:r>
              <w:rPr>
                <w:rFonts w:ascii="Arial" w:cs="Arial" w:eastAsia="Arial" w:hAnsi="Arial"/>
                <w:color w:val="000000"/>
                <w:sz w:val="19"/>
                <w:szCs w:val="19"/>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center"/>
            </w:pPr>
            <w:r>
              <w:rPr>
                <w:rFonts w:ascii="Arial" w:cs="Arial" w:eastAsia="Arial" w:hAnsi="Arial"/>
                <w:color w:val="000000"/>
                <w:sz w:val="19"/>
                <w:szCs w:val="19"/>
              </w:rPr>
              <w:t xml:space="preserve">0</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9"/>
                <w:szCs w:val="19"/>
              </w:rPr>
              <w:t xml:space="preserve">Very Strong — near-complete coverage</w:t>
            </w:r>
          </w:p>
        </w:tc>
      </w:tr>
      <w:tr>
        <w:tc>
          <w:tcPr>
            <w:tcW w:type="dxa" w:w="3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9"/>
                <w:szCs w:val="19"/>
              </w:rPr>
              <w:t xml:space="preserve">NIST AI RMF 1.0 (GOVERN/MAP/MEASURE/MANAGE)</w:t>
            </w:r>
          </w:p>
        </w:tc>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center"/>
            </w:pPr>
            <w:r>
              <w:rPr>
                <w:rFonts w:ascii="Arial" w:cs="Arial" w:eastAsia="Arial" w:hAnsi="Arial"/>
                <w:color w:val="000000"/>
                <w:sz w:val="19"/>
                <w:szCs w:val="19"/>
              </w:rPr>
              <w:t xml:space="preserve">18</w:t>
            </w:r>
          </w:p>
        </w:tc>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center"/>
            </w:pPr>
            <w:r>
              <w:rPr>
                <w:rFonts w:ascii="Arial" w:cs="Arial" w:eastAsia="Arial" w:hAnsi="Arial"/>
                <w:color w:val="000000"/>
                <w:sz w:val="19"/>
                <w:szCs w:val="19"/>
              </w:rPr>
              <w:t xml:space="preserve">5</w:t>
            </w:r>
          </w:p>
        </w:tc>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center"/>
            </w:pPr>
            <w:r>
              <w:rPr>
                <w:rFonts w:ascii="Arial" w:cs="Arial" w:eastAsia="Arial" w:hAnsi="Arial"/>
                <w:color w:val="000000"/>
                <w:sz w:val="19"/>
                <w:szCs w:val="19"/>
              </w:rPr>
              <w:t xml:space="preserve">1</w:t>
            </w:r>
          </w:p>
        </w:tc>
        <w:tc>
          <w:tcPr>
            <w:tcW w:type="dxa" w:w="15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9"/>
                <w:szCs w:val="19"/>
              </w:rPr>
              <w:t xml:space="preserve">Strong — governance and lifecycle well-covered</w:t>
            </w:r>
          </w:p>
        </w:tc>
      </w:tr>
    </w:tbl>
    <w:p>
      <w:r>
        <w:br w:type="page"/>
      </w:r>
    </w:p>
    <w:p>
      <w:pPr>
        <w:pStyle w:val="Heading1"/>
        <w:pBdr>
          <w:bottom w:val="single" w:color="1B3A6B" w:sz="6" w:space="1"/>
        </w:pBdr>
        <w:spacing w:after="140" w:before="320"/>
      </w:pPr>
      <w:r>
        <w:rPr>
          <w:rFonts w:ascii="Arial" w:cs="Arial" w:eastAsia="Arial" w:hAnsi="Arial"/>
          <w:b/>
          <w:bCs/>
          <w:color w:val="1B3A6B"/>
          <w:sz w:val="30"/>
          <w:szCs w:val="30"/>
        </w:rPr>
        <w:t xml:space="preserve">Section 1 — CSA Agentic Trust Framework (ATF)</w:t>
      </w:r>
    </w:p>
    <w:p>
      <w:pPr>
        <w:spacing w:after="80" w:before="0"/>
        <w:jc w:val="left"/>
      </w:pPr>
      <w:r>
        <w:rPr>
          <w:rFonts w:ascii="Arial" w:cs="Arial" w:eastAsia="Arial" w:hAnsi="Arial"/>
          <w:b/>
          <w:bCs/>
          <w:color w:val="000000"/>
          <w:sz w:val="19"/>
          <w:szCs w:val="19"/>
        </w:rPr>
        <w:t xml:space="preserve">Framework: </w:t>
      </w:r>
      <w:r>
        <w:rPr>
          <w:rFonts w:ascii="Arial" w:cs="Arial" w:eastAsia="Arial" w:hAnsi="Arial"/>
          <w:color w:val="000000"/>
          <w:sz w:val="19"/>
          <w:szCs w:val="19"/>
        </w:rPr>
        <w:t xml:space="preserve">CSA Agentic Trust Framework (ATF) · Published February 2026 · CC BY 4.0 · Author: Josh Woodruff, MassiveScale.AI · </w:t>
      </w:r>
      <w:r>
        <w:rPr>
          <w:rFonts w:ascii="Arial" w:cs="Arial" w:eastAsia="Arial" w:hAnsi="Arial"/>
          <w:i/>
          <w:iCs/>
          <w:color w:val="000000"/>
          <w:sz w:val="19"/>
          <w:szCs w:val="19"/>
        </w:rPr>
        <w:t xml:space="preserve">github.com/massivescale-ai/agentic-trust-framework</w:t>
      </w:r>
    </w:p>
    <w:p>
      <w:pPr>
        <w:spacing w:after="60" w:before="0"/>
        <w:jc w:val="left"/>
      </w:pPr>
      <w:r>
        <w:rPr>
          <w:rFonts w:ascii="Arial" w:cs="Arial" w:eastAsia="Arial" w:hAnsi="Arial"/>
          <w:color w:val="000000"/>
          <w:sz w:val="20"/>
          <w:szCs w:val="20"/>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9"/>
                <w:szCs w:val="19"/>
              </w:rPr>
              <w:t xml:space="preserve">ATF Five Core Elements</w:t>
            </w:r>
          </w:p>
        </w:tc>
        <w:tc>
          <w:tcPr>
            <w:tcW w:type="dxa" w:w="468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9"/>
                <w:szCs w:val="19"/>
              </w:rPr>
              <w:t xml:space="preserve">ATF Four Maturity Levels</w:t>
            </w:r>
          </w:p>
        </w:tc>
      </w:tr>
      <w:tr>
        <w:tc>
          <w:tcPr>
            <w:tcW w:type="dxa" w:w="468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40" w:before="0"/>
              <w:jc w:val="left"/>
            </w:pPr>
            <w:r>
              <w:rPr>
                <w:rFonts w:ascii="Arial" w:cs="Arial" w:eastAsia="Arial" w:hAnsi="Arial"/>
                <w:color w:val="000000"/>
                <w:sz w:val="19"/>
                <w:szCs w:val="19"/>
              </w:rPr>
              <w:t xml:space="preserve">1. Identity — Authentication, authorization, session management</w:t>
            </w:r>
          </w:p>
          <w:p>
            <w:pPr>
              <w:spacing w:after="40" w:before="0"/>
              <w:jc w:val="left"/>
            </w:pPr>
            <w:r>
              <w:rPr>
                <w:rFonts w:ascii="Arial" w:cs="Arial" w:eastAsia="Arial" w:hAnsi="Arial"/>
                <w:color w:val="000000"/>
                <w:sz w:val="19"/>
                <w:szCs w:val="19"/>
              </w:rPr>
              <w:t xml:space="preserve">2. Behavior — Observability, anomaly detection, intent analysis</w:t>
            </w:r>
          </w:p>
          <w:p>
            <w:pPr>
              <w:spacing w:after="40" w:before="0"/>
              <w:jc w:val="left"/>
            </w:pPr>
            <w:r>
              <w:rPr>
                <w:rFonts w:ascii="Arial" w:cs="Arial" w:eastAsia="Arial" w:hAnsi="Arial"/>
                <w:color w:val="000000"/>
                <w:sz w:val="19"/>
                <w:szCs w:val="19"/>
              </w:rPr>
              <w:t xml:space="preserve">3. Data Governance — Input validation, PII protection, output governance</w:t>
            </w:r>
          </w:p>
          <w:p>
            <w:pPr>
              <w:spacing w:after="40" w:before="0"/>
              <w:jc w:val="left"/>
            </w:pPr>
            <w:r>
              <w:rPr>
                <w:rFonts w:ascii="Arial" w:cs="Arial" w:eastAsia="Arial" w:hAnsi="Arial"/>
                <w:color w:val="000000"/>
                <w:sz w:val="19"/>
                <w:szCs w:val="19"/>
              </w:rPr>
              <w:t xml:space="preserve">4. Segmentation — Access control, resource boundaries, blast radius</w:t>
            </w:r>
          </w:p>
          <w:p>
            <w:pPr>
              <w:spacing w:after="80" w:before="0"/>
              <w:jc w:val="left"/>
            </w:pPr>
            <w:r>
              <w:rPr>
                <w:rFonts w:ascii="Arial" w:cs="Arial" w:eastAsia="Arial" w:hAnsi="Arial"/>
                <w:color w:val="000000"/>
                <w:sz w:val="19"/>
                <w:szCs w:val="19"/>
              </w:rPr>
              <w:t xml:space="preserve">5. Incident Response — Circuit breakers, kill switches, containment</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40" w:before="0"/>
              <w:jc w:val="left"/>
            </w:pPr>
            <w:r>
              <w:rPr>
                <w:rFonts w:ascii="Arial" w:cs="Arial" w:eastAsia="Arial" w:hAnsi="Arial"/>
                <w:color w:val="000000"/>
                <w:sz w:val="19"/>
                <w:szCs w:val="19"/>
              </w:rPr>
              <w:t xml:space="preserve">Level 1 — Intern: Read-only, no autonomous actions, continuous oversight</w:t>
            </w:r>
          </w:p>
          <w:p>
            <w:pPr>
              <w:spacing w:after="40" w:before="0"/>
              <w:jc w:val="left"/>
            </w:pPr>
            <w:r>
              <w:rPr>
                <w:rFonts w:ascii="Arial" w:cs="Arial" w:eastAsia="Arial" w:hAnsi="Arial"/>
                <w:color w:val="000000"/>
                <w:sz w:val="19"/>
                <w:szCs w:val="19"/>
              </w:rPr>
              <w:t xml:space="preserve">Level 2 — Junior: Recommendations only, human approval required for all actions</w:t>
            </w:r>
          </w:p>
          <w:p>
            <w:pPr>
              <w:spacing w:after="40" w:before="0"/>
              <w:jc w:val="left"/>
            </w:pPr>
            <w:r>
              <w:rPr>
                <w:rFonts w:ascii="Arial" w:cs="Arial" w:eastAsia="Arial" w:hAnsi="Arial"/>
                <w:color w:val="000000"/>
                <w:sz w:val="19"/>
                <w:szCs w:val="19"/>
              </w:rPr>
              <w:t xml:space="preserve">Level 3 — Senior: Executes within guardrails, post-action notification</w:t>
            </w:r>
          </w:p>
          <w:p>
            <w:pPr>
              <w:spacing w:after="40" w:before="0"/>
              <w:jc w:val="left"/>
            </w:pPr>
            <w:r>
              <w:rPr>
                <w:rFonts w:ascii="Arial" w:cs="Arial" w:eastAsia="Arial" w:hAnsi="Arial"/>
                <w:color w:val="000000"/>
                <w:sz w:val="19"/>
                <w:szCs w:val="19"/>
              </w:rPr>
              <w:t xml:space="preserve">Level 4 — Principal: Full autonomy within defined bounds, strategic oversight</w:t>
            </w:r>
          </w:p>
          <w:p>
            <w:pPr>
              <w:spacing w:after="80" w:before="0"/>
              <w:jc w:val="left"/>
            </w:pPr>
            <w:r>
              <w:rPr>
                <w:rFonts w:ascii="Arial" w:cs="Arial" w:eastAsia="Arial" w:hAnsi="Arial"/>
                <w:i/>
                <w:iCs/>
                <w:color w:val="000000"/>
                <w:sz w:val="19"/>
                <w:szCs w:val="19"/>
              </w:rPr>
              <w:t xml:space="preserve">Promotion requires: accuracy, security audit, business value, clean record, governance sign-off.</w:t>
            </w:r>
          </w:p>
        </w:tc>
      </w:tr>
    </w:tbl>
    <w:p>
      <w:pPr>
        <w:spacing w:after="120" w:before="0"/>
        <w:jc w:val="left"/>
      </w:pPr>
      <w:r>
        <w:rPr>
          <w:rFonts w:ascii="Arial" w:cs="Arial" w:eastAsia="Arial" w:hAnsi="Arial"/>
          <w:color w:val="000000"/>
          <w:sz w:val="20"/>
          <w:szCs w:val="20"/>
        </w:rPr>
        <w:t xml:space="preserve"/>
      </w:r>
    </w:p>
    <w:p>
      <w:pPr>
        <w:spacing w:after="120" w:before="0"/>
        <w:jc w:val="left"/>
      </w:pPr>
      <w:r>
        <w:rPr>
          <w:rFonts w:ascii="Arial" w:cs="Arial" w:eastAsia="Arial" w:hAnsi="Arial"/>
          <w:i/>
          <w:iCs/>
          <w:color w:val="4A4A4A"/>
          <w:sz w:val="19"/>
          <w:szCs w:val="19"/>
        </w:rPr>
        <w:t xml:space="preserve">Key Insight: ATF and AAC are highly complementary. ATF excels at operational trust progression (the maturity model) and Zero Trust identity controls. AAC extends ATF with: the DNH ethical constraint layer, the Decision Arbitration runtime enforcement architecture, formal harm classification, engineering design requirements (AE, TB, AP, LL), and data lifecycle governance. The two frameworks together provide more complete coverage than either alone.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600"/>
        <w:gridCol w:w="2000"/>
        <w:gridCol w:w="1400"/>
        <w:gridCol w:w="800"/>
        <w:gridCol w:w="3560"/>
      </w:tblGrid>
      <w:tr>
        <w:tc>
          <w:tcPr>
            <w:tcW w:type="dxa" w:w="16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AAC Control</w:t>
            </w:r>
          </w:p>
        </w:tc>
        <w:tc>
          <w:tcPr>
            <w:tcW w:type="dxa" w:w="20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ATF Element</w:t>
            </w:r>
          </w:p>
        </w:tc>
        <w:tc>
          <w:tcPr>
            <w:tcW w:type="dxa" w:w="14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ATF Level</w:t>
            </w:r>
          </w:p>
        </w:tc>
        <w:tc>
          <w:tcPr>
            <w:tcW w:type="dxa" w:w="8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Coverage</w:t>
            </w:r>
          </w:p>
        </w:tc>
        <w:tc>
          <w:tcPr>
            <w:tcW w:type="dxa" w:w="356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Notes</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AAC-DNH-0 to 0h</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All Five Elements</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Intern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DNH provides the ethical constraint layer absent from ATF. ATF governs how agents operate; DNH governs what outcomes are prohibited. Complementary, not overlapping.</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AAC-AE-01</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Segmentation — Resource Boundaries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Intern → Senior</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Segmentation covers resource limits at agent level; AE-01 governs compute architecture patterns. ATF does not address serverless vs. container architectural decisions.</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AAC-AE-02</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Segmentation</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Junior → Senior</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Segmentation includes service boundary controls; AE-02 is more specific to event bus architecture. Complementary.</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AAC-AE-05</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800"/>
            <w:tcBorders>
              <w:top w:val="single" w:color="CCCCCC" w:sz="1"/>
              <w:left w:val="single" w:color="CCCCCC" w:sz="1"/>
              <w:bottom w:val="single" w:color="CCCCCC" w:sz="1"/>
              <w:right w:val="single" w:color="CCCCCC" w:sz="1"/>
            </w:tcBorders>
            <w:shd w:fill="F7D6D6" w:val="clear"/>
            <w:tcMar>
              <w:top w:type="dxa" w:w="60"/>
              <w:left w:type="dxa" w:w="100"/>
              <w:bottom w:type="dxa" w:w="60"/>
              <w:right w:type="dxa" w:w="100"/>
            </w:tcMar>
          </w:tcPr>
          <w:p>
            <w:pPr>
              <w:spacing w:after="80" w:before="0"/>
              <w:jc w:val="left"/>
            </w:pPr>
            <w:r>
              <w:rPr>
                <w:rFonts w:ascii="Arial" w:cs="Arial" w:eastAsia="Arial" w:hAnsi="Arial"/>
                <w:b/>
                <w:bCs/>
                <w:color w:val="8B1A1A"/>
                <w:sz w:val="17"/>
                <w:szCs w:val="17"/>
              </w:rPr>
              <w:t xml:space="preserve">Gap</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has no equivalent for infrastructure-as-code requirements. ATF assumes infrastructure exists; AAC governs how it is defined.</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AAC-AE-06</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Incident Response — Containment</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Senior → Principal</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IR covers failure containment; AE-06 covers the design requirement for explicit failure states. ATF is reactive; AE-06 is design-time.</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AAC-TB-26</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800"/>
            <w:tcBorders>
              <w:top w:val="single" w:color="CCCCCC" w:sz="1"/>
              <w:left w:val="single" w:color="CCCCCC" w:sz="1"/>
              <w:bottom w:val="single" w:color="CCCCCC" w:sz="1"/>
              <w:right w:val="single" w:color="CCCCCC" w:sz="1"/>
            </w:tcBorders>
            <w:shd w:fill="F7D6D6" w:val="clear"/>
            <w:tcMar>
              <w:top w:type="dxa" w:w="60"/>
              <w:left w:type="dxa" w:w="100"/>
              <w:bottom w:type="dxa" w:w="60"/>
              <w:right w:type="dxa" w:w="100"/>
            </w:tcMar>
          </w:tcPr>
          <w:p>
            <w:pPr>
              <w:spacing w:after="80" w:before="0"/>
              <w:jc w:val="left"/>
            </w:pPr>
            <w:r>
              <w:rPr>
                <w:rFonts w:ascii="Arial" w:cs="Arial" w:eastAsia="Arial" w:hAnsi="Arial"/>
                <w:b/>
                <w:bCs/>
                <w:color w:val="8B1A1A"/>
                <w:sz w:val="17"/>
                <w:szCs w:val="17"/>
              </w:rPr>
              <w:t xml:space="preserve">Gap</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does not address testability as a governance requirement. Component isolation testing has no ATF equivalent.</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AAC-TB-27</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800"/>
            <w:tcBorders>
              <w:top w:val="single" w:color="CCCCCC" w:sz="1"/>
              <w:left w:val="single" w:color="CCCCCC" w:sz="1"/>
              <w:bottom w:val="single" w:color="CCCCCC" w:sz="1"/>
              <w:right w:val="single" w:color="CCCCCC" w:sz="1"/>
            </w:tcBorders>
            <w:shd w:fill="F7D6D6" w:val="clear"/>
            <w:tcMar>
              <w:top w:type="dxa" w:w="60"/>
              <w:left w:type="dxa" w:w="100"/>
              <w:bottom w:type="dxa" w:w="60"/>
              <w:right w:type="dxa" w:w="100"/>
            </w:tcMar>
          </w:tcPr>
          <w:p>
            <w:pPr>
              <w:spacing w:after="80" w:before="0"/>
              <w:jc w:val="left"/>
            </w:pPr>
            <w:r>
              <w:rPr>
                <w:rFonts w:ascii="Arial" w:cs="Arial" w:eastAsia="Arial" w:hAnsi="Arial"/>
                <w:b/>
                <w:bCs/>
                <w:color w:val="8B1A1A"/>
                <w:sz w:val="17"/>
                <w:szCs w:val="17"/>
              </w:rPr>
              <w:t xml:space="preserve">Gap</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has no mock boundary requirement. Adapter layer pattern is not addressed.</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AAC-TB-28</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Behavior — Observability</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Junior → Principal</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Behavior element includes production observability. TB-28 is more specific about synthetic transactions and feature flags.</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AAC-TB-29</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Behavior — Anomaly Detection</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Senior → Principal</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monitors agent behavior anomalies; TB-29 requires pre-deployment regression benchmark testing. ATF is runtime; TB-29 is pre-deployment.</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AAC-AP-30</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800"/>
            <w:tcBorders>
              <w:top w:val="single" w:color="CCCCCC" w:sz="1"/>
              <w:left w:val="single" w:color="CCCCCC" w:sz="1"/>
              <w:bottom w:val="single" w:color="CCCCCC" w:sz="1"/>
              <w:right w:val="single" w:color="CCCCCC" w:sz="1"/>
            </w:tcBorders>
            <w:shd w:fill="F7D6D6" w:val="clear"/>
            <w:tcMar>
              <w:top w:type="dxa" w:w="60"/>
              <w:left w:type="dxa" w:w="100"/>
              <w:bottom w:type="dxa" w:w="60"/>
              <w:right w:type="dxa" w:w="100"/>
            </w:tcMar>
          </w:tcPr>
          <w:p>
            <w:pPr>
              <w:spacing w:after="80" w:before="0"/>
              <w:jc w:val="left"/>
            </w:pPr>
            <w:r>
              <w:rPr>
                <w:rFonts w:ascii="Arial" w:cs="Arial" w:eastAsia="Arial" w:hAnsi="Arial"/>
                <w:b/>
                <w:bCs/>
                <w:color w:val="8B1A1A"/>
                <w:sz w:val="17"/>
                <w:szCs w:val="17"/>
              </w:rPr>
              <w:t xml:space="preserve">Gap</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does not address API-first architecture. ATF assumes APIs exist; AAC governs how they are designed.</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AAC-AP-31</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800"/>
            <w:tcBorders>
              <w:top w:val="single" w:color="CCCCCC" w:sz="1"/>
              <w:left w:val="single" w:color="CCCCCC" w:sz="1"/>
              <w:bottom w:val="single" w:color="CCCCCC" w:sz="1"/>
              <w:right w:val="single" w:color="CCCCCC" w:sz="1"/>
            </w:tcBorders>
            <w:shd w:fill="F7D6D6" w:val="clear"/>
            <w:tcMar>
              <w:top w:type="dxa" w:w="60"/>
              <w:left w:type="dxa" w:w="100"/>
              <w:bottom w:type="dxa" w:w="60"/>
              <w:right w:type="dxa" w:w="100"/>
            </w:tcMar>
          </w:tcPr>
          <w:p>
            <w:pPr>
              <w:spacing w:after="80" w:before="0"/>
              <w:jc w:val="left"/>
            </w:pPr>
            <w:r>
              <w:rPr>
                <w:rFonts w:ascii="Arial" w:cs="Arial" w:eastAsia="Arial" w:hAnsi="Arial"/>
                <w:b/>
                <w:bCs/>
                <w:color w:val="8B1A1A"/>
                <w:sz w:val="17"/>
                <w:szCs w:val="17"/>
              </w:rPr>
              <w:t xml:space="preserve">Gap</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API versioning and deprecation have no ATF equivalent.</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AAC-AP-32</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800"/>
            <w:tcBorders>
              <w:top w:val="single" w:color="CCCCCC" w:sz="1"/>
              <w:left w:val="single" w:color="CCCCCC" w:sz="1"/>
              <w:bottom w:val="single" w:color="CCCCCC" w:sz="1"/>
              <w:right w:val="single" w:color="CCCCCC" w:sz="1"/>
            </w:tcBorders>
            <w:shd w:fill="F7D6D6" w:val="clear"/>
            <w:tcMar>
              <w:top w:type="dxa" w:w="60"/>
              <w:left w:type="dxa" w:w="100"/>
              <w:bottom w:type="dxa" w:w="60"/>
              <w:right w:type="dxa" w:w="100"/>
            </w:tcMar>
          </w:tcPr>
          <w:p>
            <w:pPr>
              <w:spacing w:after="80" w:before="0"/>
              <w:jc w:val="left"/>
            </w:pPr>
            <w:r>
              <w:rPr>
                <w:rFonts w:ascii="Arial" w:cs="Arial" w:eastAsia="Arial" w:hAnsi="Arial"/>
                <w:b/>
                <w:bCs/>
                <w:color w:val="8B1A1A"/>
                <w:sz w:val="17"/>
                <w:szCs w:val="17"/>
              </w:rPr>
              <w:t xml:space="preserve">Gap</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Contract-before-implementation design pattern has no ATF equivalent.</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AAC-LL-40</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800"/>
            <w:tcBorders>
              <w:top w:val="single" w:color="CCCCCC" w:sz="1"/>
              <w:left w:val="single" w:color="CCCCCC" w:sz="1"/>
              <w:bottom w:val="single" w:color="CCCCCC" w:sz="1"/>
              <w:right w:val="single" w:color="CCCCCC" w:sz="1"/>
            </w:tcBorders>
            <w:shd w:fill="F7D6D6" w:val="clear"/>
            <w:tcMar>
              <w:top w:type="dxa" w:w="60"/>
              <w:left w:type="dxa" w:w="100"/>
              <w:bottom w:type="dxa" w:w="60"/>
              <w:right w:type="dxa" w:w="100"/>
            </w:tcMar>
          </w:tcPr>
          <w:p>
            <w:pPr>
              <w:spacing w:after="80" w:before="0"/>
              <w:jc w:val="left"/>
            </w:pPr>
            <w:r>
              <w:rPr>
                <w:rFonts w:ascii="Arial" w:cs="Arial" w:eastAsia="Arial" w:hAnsi="Arial"/>
                <w:b/>
                <w:bCs/>
                <w:color w:val="8B1A1A"/>
                <w:sz w:val="17"/>
                <w:szCs w:val="17"/>
              </w:rPr>
              <w:t xml:space="preserve">Gap</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Cache management is an engineering concern not addressed by ATF.</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AAC-LL-41</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800"/>
            <w:tcBorders>
              <w:top w:val="single" w:color="CCCCCC" w:sz="1"/>
              <w:left w:val="single" w:color="CCCCCC" w:sz="1"/>
              <w:bottom w:val="single" w:color="CCCCCC" w:sz="1"/>
              <w:right w:val="single" w:color="CCCCCC" w:sz="1"/>
            </w:tcBorders>
            <w:shd w:fill="F7D6D6" w:val="clear"/>
            <w:tcMar>
              <w:top w:type="dxa" w:w="60"/>
              <w:left w:type="dxa" w:w="100"/>
              <w:bottom w:type="dxa" w:w="60"/>
              <w:right w:type="dxa" w:w="100"/>
            </w:tcMar>
          </w:tcPr>
          <w:p>
            <w:pPr>
              <w:spacing w:after="80" w:before="0"/>
              <w:jc w:val="left"/>
            </w:pPr>
            <w:r>
              <w:rPr>
                <w:rFonts w:ascii="Arial" w:cs="Arial" w:eastAsia="Arial" w:hAnsi="Arial"/>
                <w:b/>
                <w:bCs/>
                <w:color w:val="8B1A1A"/>
                <w:sz w:val="17"/>
                <w:szCs w:val="17"/>
              </w:rPr>
              <w:t xml:space="preserve">Gap</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Async processing patterns are not addressed by ATF.</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AAC-LL-42</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800"/>
            <w:tcBorders>
              <w:top w:val="single" w:color="CCCCCC" w:sz="1"/>
              <w:left w:val="single" w:color="CCCCCC" w:sz="1"/>
              <w:bottom w:val="single" w:color="CCCCCC" w:sz="1"/>
              <w:right w:val="single" w:color="CCCCCC" w:sz="1"/>
            </w:tcBorders>
            <w:shd w:fill="F7D6D6" w:val="clear"/>
            <w:tcMar>
              <w:top w:type="dxa" w:w="60"/>
              <w:left w:type="dxa" w:w="100"/>
              <w:bottom w:type="dxa" w:w="60"/>
              <w:right w:type="dxa" w:w="100"/>
            </w:tcMar>
          </w:tcPr>
          <w:p>
            <w:pPr>
              <w:spacing w:after="80" w:before="0"/>
              <w:jc w:val="left"/>
            </w:pPr>
            <w:r>
              <w:rPr>
                <w:rFonts w:ascii="Arial" w:cs="Arial" w:eastAsia="Arial" w:hAnsi="Arial"/>
                <w:b/>
                <w:bCs/>
                <w:color w:val="8B1A1A"/>
                <w:sz w:val="17"/>
                <w:szCs w:val="17"/>
              </w:rPr>
              <w:t xml:space="preserve">Gap</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Write-time pre-computation has no ATF equivalent.</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AAC-DP-06</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Data Governance — Input Validation &amp; PII</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Intern → Principal</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Data Governance covers PII protection and data minimization at a high level. DP-06 is more specific about storage delegation to third-party providers.</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AAC-DP-07</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Behavior — Audit Trails</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Intern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explicitly requires complete audit trails of agent actions. DP-07 extends this to include decision ownership chain and arbitration path.</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AAC-DP-08</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Data Governance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Intern → Principal</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Data Governance implies encryption requirements. DP-08 makes this explicit and non-negotiable.</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AAC-DP-09</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Data Governance — Output Governance</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Junior → Senior</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covers output governance at the system level. DP-09 specifies response-boundary least disclosure at the field level. ATF is coarser-grained.</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AAC-AI-10</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Behavior — Intent Analysis + Incident Response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Junior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Behavior monitoring and IR circuit breakers collectively cover confidence threshold enforcement and graceful degradation. Strong alignment.</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AAC-DP-07</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Behavior — Audit Trails</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Intern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AAC-DP-07 now consolidates AI-11's decision reasoning chain requirement. ATF requires complete audit trails; DP-07 extends this to the decision ownership chain, arbitration path, and confidence scores. Strong alignment.</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AAC-AI-12</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Incident Response — Kill Switches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Junior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IR explicitly requires kill switches and human control mechanisms. Direct alignment.</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AAC-AI-13</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Behavior — Intent Analysis</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Senior → Principal</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addresses intent alignment monitoring. AI-13 addresses the human-facing communication of confidence — the UX dimension of trust calibration. Partial overlap.</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AAC-TS-13</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Identity — Authentication &amp; Authorization Chain</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Intern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Identity requires verifying the agent's authorization chain at each boundary. Direct alignment with trust provenance re-validation.</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AAC-TS-14</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Maturity Model — All Four Levels</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Intern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ATF's Intern → Junior → Senior → Principal maturity model is the operational implementation of AAC-TS-14's graduated trust principle. This is the strongest alignment point between the two frameworks.</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AAC-TS-16</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Incident Response — Evidence Collection</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Junior → Principal</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IR includes evidence gathering. TS-16 is specific to dispute resolution evidence requirements before adjudication.</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AAC-TS-17</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800"/>
            <w:tcBorders>
              <w:top w:val="single" w:color="CCCCCC" w:sz="1"/>
              <w:left w:val="single" w:color="CCCCCC" w:sz="1"/>
              <w:bottom w:val="single" w:color="CCCCCC" w:sz="1"/>
              <w:right w:val="single" w:color="CCCCCC" w:sz="1"/>
            </w:tcBorders>
            <w:shd w:fill="F7D6D6" w:val="clear"/>
            <w:tcMar>
              <w:top w:type="dxa" w:w="60"/>
              <w:left w:type="dxa" w:w="100"/>
              <w:bottom w:type="dxa" w:w="60"/>
              <w:right w:type="dxa" w:w="100"/>
            </w:tcMar>
          </w:tcPr>
          <w:p>
            <w:pPr>
              <w:spacing w:after="80" w:before="0"/>
              <w:jc w:val="left"/>
            </w:pPr>
            <w:r>
              <w:rPr>
                <w:rFonts w:ascii="Arial" w:cs="Arial" w:eastAsia="Arial" w:hAnsi="Arial"/>
                <w:b/>
                <w:bCs/>
                <w:color w:val="8B1A1A"/>
                <w:sz w:val="17"/>
                <w:szCs w:val="17"/>
              </w:rPr>
              <w:t xml:space="preserve">Gap</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does not address user-favorable error resolution. ATF focuses on agent security; TS-17 is an operational fairness principle.</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AAC-OG-23</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Segmentation — Least Privilege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Intern → Principal</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Segmentation includes capability minimization. OG-23 extends this to require economic and operational justification for every capability, not just access scope.</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AAC-OG-24</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All Five Elements — Governance Infrastructure</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Junior → Principal</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requires governance sign-off for promotion and policy documentation. OG-24 requires version-controlled governance artifacts as first-class CI/CD components. ATF is less prescriptive on artifact management.</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AAC-OG-25</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Behavior — Continuous Monitoring</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Senior → Principal</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Behavior monitoring detects anomalies; OG-25 requires continuous validation of runtime behavior against declared governance artifacts specifically. Directional alignment.</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AAC-RS-34</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Incident Response — Circuit Breakers</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Junior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IR circuit breakers directly address single point of failure on critical paths. Strong alignment.</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AAC-RS-35</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800"/>
            <w:tcBorders>
              <w:top w:val="single" w:color="CCCCCC" w:sz="1"/>
              <w:left w:val="single" w:color="CCCCCC" w:sz="1"/>
              <w:bottom w:val="single" w:color="CCCCCC" w:sz="1"/>
              <w:right w:val="single" w:color="CCCCCC" w:sz="1"/>
            </w:tcBorders>
            <w:shd w:fill="F7D6D6" w:val="clear"/>
            <w:tcMar>
              <w:top w:type="dxa" w:w="60"/>
              <w:left w:type="dxa" w:w="100"/>
              <w:bottom w:type="dxa" w:w="60"/>
              <w:right w:type="dxa" w:w="100"/>
            </w:tcMar>
          </w:tcPr>
          <w:p>
            <w:pPr>
              <w:spacing w:after="80" w:before="0"/>
              <w:jc w:val="left"/>
            </w:pPr>
            <w:r>
              <w:rPr>
                <w:rFonts w:ascii="Arial" w:cs="Arial" w:eastAsia="Arial" w:hAnsi="Arial"/>
                <w:b/>
                <w:bCs/>
                <w:color w:val="8B1A1A"/>
                <w:sz w:val="17"/>
                <w:szCs w:val="17"/>
              </w:rPr>
              <w:t xml:space="preserve">Gap</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Idempotency is an engineering requirement not addressed by ATF.</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AAC-RS-36</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Incident Response — Circuit Breakers</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Intern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IR circuit breakers apply to external service dependencies. Direct alignment. ATF also covers retry patterns implicitly.</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AAC-RS-38</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800"/>
            <w:tcBorders>
              <w:top w:val="single" w:color="CCCCCC" w:sz="1"/>
              <w:left w:val="single" w:color="CCCCCC" w:sz="1"/>
              <w:bottom w:val="single" w:color="CCCCCC" w:sz="1"/>
              <w:right w:val="single" w:color="CCCCCC" w:sz="1"/>
            </w:tcBorders>
            <w:shd w:fill="F7D6D6" w:val="clear"/>
            <w:tcMar>
              <w:top w:type="dxa" w:w="60"/>
              <w:left w:type="dxa" w:w="100"/>
              <w:bottom w:type="dxa" w:w="60"/>
              <w:right w:type="dxa" w:w="100"/>
            </w:tcMar>
          </w:tcPr>
          <w:p>
            <w:pPr>
              <w:spacing w:after="80" w:before="0"/>
              <w:jc w:val="left"/>
            </w:pPr>
            <w:r>
              <w:rPr>
                <w:rFonts w:ascii="Arial" w:cs="Arial" w:eastAsia="Arial" w:hAnsi="Arial"/>
                <w:b/>
                <w:bCs/>
                <w:color w:val="8B1A1A"/>
                <w:sz w:val="17"/>
                <w:szCs w:val="17"/>
              </w:rPr>
              <w:t xml:space="preserve">Gap</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Data durability over compute availability is an architectural priority not addressed by ATF.</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AAC-RS-39</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Incident Response + Behavior Monitoring</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Senior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IR kill switches and circuit breakers combined with Behavior anomaly detection constitute system safe mode. Conceptual alignment; ATF does not use the term but covers the mechanism.</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AAC-SM-43</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800"/>
            <w:tcBorders>
              <w:top w:val="single" w:color="CCCCCC" w:sz="1"/>
              <w:left w:val="single" w:color="CCCCCC" w:sz="1"/>
              <w:bottom w:val="single" w:color="CCCCCC" w:sz="1"/>
              <w:right w:val="single" w:color="CCCCCC" w:sz="1"/>
            </w:tcBorders>
            <w:shd w:fill="F7D6D6" w:val="clear"/>
            <w:tcMar>
              <w:top w:type="dxa" w:w="60"/>
              <w:left w:type="dxa" w:w="100"/>
              <w:bottom w:type="dxa" w:w="60"/>
              <w:right w:type="dxa" w:w="100"/>
            </w:tcMar>
          </w:tcPr>
          <w:p>
            <w:pPr>
              <w:spacing w:after="80" w:before="0"/>
              <w:jc w:val="left"/>
            </w:pPr>
            <w:r>
              <w:rPr>
                <w:rFonts w:ascii="Arial" w:cs="Arial" w:eastAsia="Arial" w:hAnsi="Arial"/>
                <w:b/>
                <w:bCs/>
                <w:color w:val="8B1A1A"/>
                <w:sz w:val="17"/>
                <w:szCs w:val="17"/>
              </w:rPr>
              <w:t xml:space="preserve">Gap</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Automated hygiene scheduling has no ATF equivalent.</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AAC-SM-44</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Incident Response — Recovery</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Junior → Principal</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IR recovery covers getting back to known-good state. SM-44 is more specific about TTL-based automated liminal state resolution.</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AAC-SM-46</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w:t>
            </w:r>
          </w:p>
        </w:tc>
        <w:tc>
          <w:tcPr>
            <w:tcW w:type="dxa" w:w="800"/>
            <w:tcBorders>
              <w:top w:val="single" w:color="CCCCCC" w:sz="1"/>
              <w:left w:val="single" w:color="CCCCCC" w:sz="1"/>
              <w:bottom w:val="single" w:color="CCCCCC" w:sz="1"/>
              <w:right w:val="single" w:color="CCCCCC" w:sz="1"/>
            </w:tcBorders>
            <w:shd w:fill="F7D6D6" w:val="clear"/>
            <w:tcMar>
              <w:top w:type="dxa" w:w="60"/>
              <w:left w:type="dxa" w:w="100"/>
              <w:bottom w:type="dxa" w:w="60"/>
              <w:right w:type="dxa" w:w="100"/>
            </w:tcMar>
          </w:tcPr>
          <w:p>
            <w:pPr>
              <w:spacing w:after="80" w:before="0"/>
              <w:jc w:val="left"/>
            </w:pPr>
            <w:r>
              <w:rPr>
                <w:rFonts w:ascii="Arial" w:cs="Arial" w:eastAsia="Arial" w:hAnsi="Arial"/>
                <w:b/>
                <w:bCs/>
                <w:color w:val="8B1A1A"/>
                <w:sz w:val="17"/>
                <w:szCs w:val="17"/>
              </w:rPr>
              <w:t xml:space="preserve">Gap</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Tiered data lifecycle management has no ATF equivalent.</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AAC-AO-48</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All Five Elements at Senior/Principal</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Senior → Principal</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ATF's Senior and Principal maturity levels describe self-operating autonomy. AO-48 makes self-operation the default platform posture, which ATF frames as an earned state.</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AAC-AO-49</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Maturity Model — Promotion Criteria</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Intern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promotion criteria (accuracy, security audit, clean incident record, governance sign-off) directly implements AO-49's earned autonomy principle. Strongest operational alignment.</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AAC-AO-51</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Behavior — Anomaly Detection</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Junior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Behavior element requires continuous monitoring and anomaly detection of agent actions. AO-51 extends this to self-monitoring and automatic guardrail tightening.</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AAC-AO-52</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Identity + Maturity Model</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Intern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Identity governs what an agent is permitted to do. Maturity levels define the scope. AO-52 formalizes this as explicit, human-assigned trust tiers. Direct alignment.</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AAC-AO-53</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Maturity Model — Demotion</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Intern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explicitly includes demotion as a key differentiator. The asymmetric ratchet (automatic demotion, deliberate promotion) maps directly to AO-53.</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AAC-AO-54</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Identity — Authorization Chain Verification</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Junior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requires verifying the authorization chain. AO-54 extends this to cross-agent contexts: no agent inherits another's permissions. Direct alignment.</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AAC-AO-55</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Incident Response — Escalation</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Junior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IR includes escalation paths to human review. AO-55 formalizes this as a governed, time-bounded escalation hierarchy. Conceptual alignment; AAC is more prescriptive.</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AAC-AO-56</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Behavior — Continuous Monitoring + Promotion Criteria</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Senior → Principal</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requires performance monitoring for promotion decisions. AO-56 requires a governed feedback loop that updates model behavior and policy. ATF is less prescriptive on learning loop governance.</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AAC-AO-58</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Segmentation — Resource Boundaries</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Intern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Segmentation explicitly addresses compute budgets and API quotas as resource boundary controls. Direct alignment.</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AAC-DA-59</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Incident Response — Pre-Action Validation</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Senior → Principal</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IR validates actions before execution at higher maturity levels. DA-59 formalizes the three-tier harm classification taxonomy. ATF has no harm tier model.</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AAC-DA-60</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Identity + Behavior + IR — All Five Elements</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Senior → Principal</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ATF's combined elements cover what the arbitration layer does. In v1.3 AAC-DA-60 is scoped to high-risk actions (defined by harm tier classification in DA-59), resolving the bottleneck concern. ATF does not prescribe a centralized sequential arbitration layer as an architectural requirement.</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AAC-DA-61</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Incident Response — Recovery</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Junior → Principal</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IR requires recovery mechanisms. DA-61's liveness guarantee (every decision must resolve; deadlock is a design defect) has no direct ATF equivalent.</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AAC-DA-62</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Identity — Authorization Verification</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Senior → Principal</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verifies identity and authorization. DA-62 requires the arbitration layer to independently verify confidence claims — a more specific mechanism not addressed by ATF.</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AAC-DA-63</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All Five Elements — Enforcement Architecture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Principal</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implies a centralized governance layer but does not require it to be non-bypassable by architectural specification. DA-63 is a stronger structural requirement.</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AAC-ZT-64</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Identity — Authentication</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Intern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Core ATF Identity principle. Direct alignment.</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AAC-ZT-65</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Segmentation — Least Privilege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Intern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Core ATF Segmentation principle. Direct alignment.</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AAC-ZT-66</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Identity — Session Management</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Junior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Identity includes credential lifecycle. Short-lived credentials are implied by Zero Trust session management. Strong alignment.</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AAC-ZT-67</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Identity — Authentication &amp; Authorization Chain</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Intern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requires authentication, authorization, and validation in the identity chain. Direct alignment.</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AAC-ZT-68</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Identity + Segmentation</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Junior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requires mutual authentication for service-to-service and event bus communications. Direct alignment.</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AAC-ZT-71</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Data Governance — Input Validation</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Intern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Data Governance explicitly requires input validation and sandboxed execution. Direct alignment.</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AAC-ZT-72</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Segmentation — Access Control</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Intern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Core ATF Segmentation principle. Network segmentation by trust boundary. Direct alignment.</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AAC-ZT-73</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Segmentation — Blast Radius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Junior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Segmentation includes blast radius limitation. Direct alignment.</w:t>
            </w:r>
          </w:p>
        </w:tc>
      </w:tr>
      <w:tr>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AAC-ZT-74</w:t>
            </w:r>
          </w:p>
        </w:tc>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Identity — Continuous Verification</w:t>
            </w:r>
          </w:p>
        </w:tc>
        <w:tc>
          <w:tcPr>
            <w:tcW w:type="dxa" w:w="1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Junior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ATF's core 'never trust, always verify' posture requires continuous verification. Direct alignment.</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AAC-ZT-75</w:t>
            </w:r>
          </w:p>
        </w:tc>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Data Governance — Input Validation</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Junior → Principal</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ATF Data Governance covers input validation and prompt injection prevention. ZT-75 in v1.3 is tightened to focus exclusively on instruction/data separation — schema validation redundancy with ZT-71 removed. Direct alignment maintained.</w:t>
            </w:r>
          </w:p>
        </w:tc>
      </w:tr>
    </w:tbl>
    <w:p>
      <w:r>
        <w:br w:type="page"/>
      </w:r>
    </w:p>
    <w:p>
      <w:pPr>
        <w:pStyle w:val="Heading1"/>
        <w:pBdr>
          <w:bottom w:val="single" w:color="1B3A6B" w:sz="6" w:space="1"/>
        </w:pBdr>
        <w:spacing w:after="140" w:before="320"/>
      </w:pPr>
      <w:r>
        <w:rPr>
          <w:rFonts w:ascii="Arial" w:cs="Arial" w:eastAsia="Arial" w:hAnsi="Arial"/>
          <w:b/>
          <w:bCs/>
          <w:color w:val="1B3A6B"/>
          <w:sz w:val="30"/>
          <w:szCs w:val="30"/>
        </w:rPr>
        <w:t xml:space="preserve">Section 2 — OWASP Agentic Top 10 (2026) &amp; LLM Top 10 (2025)</w:t>
      </w:r>
    </w:p>
    <w:p>
      <w:pPr>
        <w:spacing w:after="80" w:before="0"/>
        <w:jc w:val="left"/>
      </w:pPr>
      <w:r>
        <w:rPr>
          <w:rFonts w:ascii="Arial" w:cs="Arial" w:eastAsia="Arial" w:hAnsi="Arial"/>
          <w:b/>
          <w:bCs/>
          <w:color w:val="000000"/>
          <w:sz w:val="19"/>
          <w:szCs w:val="19"/>
        </w:rPr>
        <w:t xml:space="preserve">Framework: </w:t>
      </w:r>
      <w:r>
        <w:rPr>
          <w:rFonts w:ascii="Arial" w:cs="Arial" w:eastAsia="Arial" w:hAnsi="Arial"/>
          <w:color w:val="000000"/>
          <w:sz w:val="19"/>
          <w:szCs w:val="19"/>
        </w:rPr>
        <w:t xml:space="preserve">OWASP Top 10 for Agentic Applications 2026 · Published December 2025 · CC BY-SA 4.0 · </w:t>
      </w:r>
      <w:r>
        <w:rPr>
          <w:rFonts w:ascii="Arial" w:cs="Arial" w:eastAsia="Arial" w:hAnsi="Arial"/>
          <w:i/>
          <w:iCs/>
          <w:color w:val="000000"/>
          <w:sz w:val="19"/>
          <w:szCs w:val="19"/>
        </w:rPr>
        <w:t xml:space="preserve">genai.owasp.org</w:t>
      </w:r>
    </w:p>
    <w:p>
      <w:pPr>
        <w:spacing w:after="60" w:before="0"/>
        <w:jc w:val="left"/>
      </w:pPr>
      <w:r>
        <w:rPr>
          <w:rFonts w:ascii="Arial" w:cs="Arial" w:eastAsia="Arial" w:hAnsi="Arial"/>
          <w:color w:val="000000"/>
          <w:sz w:val="20"/>
          <w:szCs w:val="20"/>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400"/>
        <w:gridCol w:w="2480"/>
        <w:gridCol w:w="1400"/>
        <w:gridCol w:w="2480"/>
        <w:gridCol w:w="1600"/>
      </w:tblGrid>
      <w:tr>
        <w:tc>
          <w:tcPr>
            <w:tcW w:type="dxa" w:w="1400"/>
            <w:tcBorders>
              <w:top w:val="single" w:color="8B1A1A" w:sz="1"/>
              <w:left w:val="single" w:color="8B1A1A" w:sz="1"/>
              <w:bottom w:val="single" w:color="8B1A1A" w:sz="1"/>
              <w:right w:val="single" w:color="8B1A1A" w:sz="1"/>
            </w:tcBorders>
            <w:shd w:fill="8B1A1A"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ASI01</w:t>
            </w:r>
          </w:p>
        </w:tc>
        <w:tc>
          <w:tcPr>
            <w:tcW w:type="dxa" w:w="2480"/>
            <w:tcBorders>
              <w:top w:val="single" w:color="8B1A1A" w:sz="1"/>
              <w:left w:val="single" w:color="8B1A1A" w:sz="1"/>
              <w:bottom w:val="single" w:color="8B1A1A" w:sz="1"/>
              <w:right w:val="single" w:color="8B1A1A" w:sz="1"/>
            </w:tcBorders>
            <w:shd w:fill="8B1A1A" w:val="clear"/>
            <w:tcMar>
              <w:top w:type="dxa" w:w="60"/>
              <w:left w:type="dxa" w:w="100"/>
              <w:bottom w:type="dxa" w:w="60"/>
              <w:right w:type="dxa" w:w="100"/>
            </w:tcMar>
          </w:tcPr>
          <w:p>
            <w:pPr>
              <w:spacing w:after="80" w:before="0"/>
              <w:jc w:val="left"/>
            </w:pPr>
            <w:r>
              <w:rPr>
                <w:rFonts w:ascii="Arial" w:cs="Arial" w:eastAsia="Arial" w:hAnsi="Arial"/>
                <w:color w:val="FFFFFF"/>
                <w:sz w:val="18"/>
                <w:szCs w:val="18"/>
              </w:rPr>
              <w:t xml:space="preserve">Agent Goal Hijack</w:t>
            </w:r>
          </w:p>
        </w:tc>
        <w:tc>
          <w:tcPr>
            <w:tcW w:type="dxa" w:w="14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ASI02</w:t>
            </w:r>
          </w:p>
        </w:tc>
        <w:tc>
          <w:tcPr>
            <w:tcW w:type="dxa" w:w="248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color w:val="FFFFFF"/>
                <w:sz w:val="18"/>
                <w:szCs w:val="18"/>
              </w:rPr>
              <w:t xml:space="preserve">Tool Misuse &amp; Exploitation</w:t>
            </w:r>
          </w:p>
        </w:tc>
        <w:tc>
          <w:tcPr>
            <w:tcW w:type="dxa" w:w="1600"/>
            <w:tcBorders>
              <w:top w:val="single" w:color="4A4A4A" w:sz="1"/>
              <w:left w:val="single" w:color="4A4A4A" w:sz="1"/>
              <w:bottom w:val="single" w:color="4A4A4A" w:sz="1"/>
              <w:right w:val="single" w:color="4A4A4A" w:sz="1"/>
            </w:tcBorders>
            <w:shd w:fill="4A4A4A" w:val="clear"/>
            <w:tcMar>
              <w:top w:type="dxa" w:w="60"/>
              <w:left w:type="dxa" w:w="100"/>
              <w:bottom w:type="dxa" w:w="60"/>
              <w:right w:type="dxa" w:w="100"/>
            </w:tcMar>
          </w:tcPr>
          <w:p>
            <w:pPr>
              <w:spacing w:after="80" w:before="0"/>
              <w:jc w:val="left"/>
            </w:pPr>
            <w:r>
              <w:rPr>
                <w:rFonts w:ascii="Arial" w:cs="Arial" w:eastAsia="Arial" w:hAnsi="Arial"/>
                <w:i/>
                <w:iCs/>
                <w:color w:val="FFFFFF"/>
                <w:sz w:val="18"/>
                <w:szCs w:val="18"/>
              </w:rPr>
              <w:t xml:space="preserve">(+ 8 more below)</w:t>
            </w:r>
          </w:p>
        </w:tc>
      </w:tr>
    </w:tbl>
    <w:p>
      <w:pPr>
        <w:spacing w:after="40" w:before="0"/>
        <w:jc w:val="left"/>
      </w:pPr>
      <w:r>
        <w:rPr>
          <w:rFonts w:ascii="Arial" w:cs="Arial" w:eastAsia="Arial" w:hAnsi="Arial"/>
          <w:color w:val="000000"/>
          <w:sz w:val="20"/>
          <w:szCs w:val="20"/>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400"/>
        <w:gridCol w:w="2480"/>
        <w:gridCol w:w="1400"/>
        <w:gridCol w:w="2480"/>
        <w:gridCol w:w="1600"/>
      </w:tblGrid>
      <w:tr>
        <w:tc>
          <w:tcPr>
            <w:tcW w:type="dxa" w:w="1400"/>
            <w:tcBorders>
              <w:top w:val="single" w:color="CCCCCC" w:sz="1"/>
              <w:left w:val="single" w:color="CCCCCC" w:sz="1"/>
              <w:bottom w:val="single" w:color="CCCCCC" w:sz="1"/>
              <w:right w:val="single" w:color="CCCCCC" w:sz="1"/>
            </w:tcBorders>
            <w:shd w:fill="2E5FA3"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ASI03</w:t>
            </w:r>
          </w:p>
        </w:tc>
        <w:tc>
          <w:tcPr>
            <w:tcW w:type="dxa" w:w="2480"/>
            <w:tcBorders>
              <w:top w:val="single" w:color="CCCCCC" w:sz="1"/>
              <w:left w:val="single" w:color="CCCCCC" w:sz="1"/>
              <w:bottom w:val="single" w:color="CCCCCC" w:sz="1"/>
              <w:right w:val="single" w:color="CCCCCC" w:sz="1"/>
            </w:tcBorders>
            <w:shd w:fill="2E5FA3" w:val="clear"/>
            <w:tcMar>
              <w:top w:type="dxa" w:w="60"/>
              <w:left w:type="dxa" w:w="100"/>
              <w:bottom w:type="dxa" w:w="60"/>
              <w:right w:type="dxa" w:w="100"/>
            </w:tcMar>
          </w:tcPr>
          <w:p>
            <w:pPr>
              <w:spacing w:after="80" w:before="0"/>
              <w:jc w:val="left"/>
            </w:pPr>
            <w:r>
              <w:rPr>
                <w:rFonts w:ascii="Arial" w:cs="Arial" w:eastAsia="Arial" w:hAnsi="Arial"/>
                <w:color w:val="FFFFFF"/>
                <w:sz w:val="18"/>
                <w:szCs w:val="18"/>
              </w:rPr>
              <w:t xml:space="preserve">Identity &amp; Privilege Abuse</w:t>
            </w:r>
          </w:p>
        </w:tc>
        <w:tc>
          <w:tcPr>
            <w:tcW w:type="dxa" w:w="1400"/>
            <w:tcBorders>
              <w:top w:val="single" w:color="CCCCCC" w:sz="1"/>
              <w:left w:val="single" w:color="CCCCCC" w:sz="1"/>
              <w:bottom w:val="single" w:color="CCCCCC" w:sz="1"/>
              <w:right w:val="single" w:color="CCCCCC" w:sz="1"/>
            </w:tcBorders>
            <w:shd w:fill="1A6B5A"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ASI04</w:t>
            </w:r>
          </w:p>
        </w:tc>
        <w:tc>
          <w:tcPr>
            <w:tcW w:type="dxa" w:w="2480"/>
            <w:tcBorders>
              <w:top w:val="single" w:color="CCCCCC" w:sz="1"/>
              <w:left w:val="single" w:color="CCCCCC" w:sz="1"/>
              <w:bottom w:val="single" w:color="CCCCCC" w:sz="1"/>
              <w:right w:val="single" w:color="CCCCCC" w:sz="1"/>
            </w:tcBorders>
            <w:shd w:fill="1A6B5A" w:val="clear"/>
            <w:tcMar>
              <w:top w:type="dxa" w:w="60"/>
              <w:left w:type="dxa" w:w="100"/>
              <w:bottom w:type="dxa" w:w="60"/>
              <w:right w:type="dxa" w:w="100"/>
            </w:tcMar>
          </w:tcPr>
          <w:p>
            <w:pPr>
              <w:spacing w:after="80" w:before="0"/>
              <w:jc w:val="left"/>
            </w:pPr>
            <w:r>
              <w:rPr>
                <w:rFonts w:ascii="Arial" w:cs="Arial" w:eastAsia="Arial" w:hAnsi="Arial"/>
                <w:color w:val="FFFFFF"/>
                <w:sz w:val="18"/>
                <w:szCs w:val="18"/>
              </w:rPr>
              <w:t xml:space="preserve">Agentic Supply Chain Vulnerabilities</w:t>
            </w:r>
          </w:p>
        </w:tc>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8"/>
                <w:szCs w:val="18"/>
              </w:rPr>
              <w:t xml:space="preserve"/>
            </w:r>
          </w:p>
        </w:tc>
      </w:tr>
      <w:tr>
        <w:tc>
          <w:tcPr>
            <w:tcW w:type="dxa" w:w="1400"/>
            <w:tcBorders>
              <w:top w:val="single" w:color="CCCCCC" w:sz="1"/>
              <w:left w:val="single" w:color="CCCCCC" w:sz="1"/>
              <w:bottom w:val="single" w:color="CCCCCC" w:sz="1"/>
              <w:right w:val="single" w:color="CCCCCC" w:sz="1"/>
            </w:tcBorders>
            <w:shd w:fill="1A6B5A"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ASI05</w:t>
            </w:r>
          </w:p>
        </w:tc>
        <w:tc>
          <w:tcPr>
            <w:tcW w:type="dxa" w:w="2480"/>
            <w:tcBorders>
              <w:top w:val="single" w:color="CCCCCC" w:sz="1"/>
              <w:left w:val="single" w:color="CCCCCC" w:sz="1"/>
              <w:bottom w:val="single" w:color="CCCCCC" w:sz="1"/>
              <w:right w:val="single" w:color="CCCCCC" w:sz="1"/>
            </w:tcBorders>
            <w:shd w:fill="1A6B5A" w:val="clear"/>
            <w:tcMar>
              <w:top w:type="dxa" w:w="60"/>
              <w:left w:type="dxa" w:w="100"/>
              <w:bottom w:type="dxa" w:w="60"/>
              <w:right w:type="dxa" w:w="100"/>
            </w:tcMar>
          </w:tcPr>
          <w:p>
            <w:pPr>
              <w:spacing w:after="80" w:before="0"/>
              <w:jc w:val="left"/>
            </w:pPr>
            <w:r>
              <w:rPr>
                <w:rFonts w:ascii="Arial" w:cs="Arial" w:eastAsia="Arial" w:hAnsi="Arial"/>
                <w:color w:val="FFFFFF"/>
                <w:sz w:val="18"/>
                <w:szCs w:val="18"/>
              </w:rPr>
              <w:t xml:space="preserve">Unexpected Code Execution (RCE)</w:t>
            </w:r>
          </w:p>
        </w:tc>
        <w:tc>
          <w:tcPr>
            <w:tcW w:type="dxa" w:w="1400"/>
            <w:tcBorders>
              <w:top w:val="single" w:color="CCCCCC" w:sz="1"/>
              <w:left w:val="single" w:color="CCCCCC" w:sz="1"/>
              <w:bottom w:val="single" w:color="CCCCCC" w:sz="1"/>
              <w:right w:val="single" w:color="CCCCCC" w:sz="1"/>
            </w:tcBorders>
            <w:shd w:fill="2E5FA3"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ASI06</w:t>
            </w:r>
          </w:p>
        </w:tc>
        <w:tc>
          <w:tcPr>
            <w:tcW w:type="dxa" w:w="2480"/>
            <w:tcBorders>
              <w:top w:val="single" w:color="CCCCCC" w:sz="1"/>
              <w:left w:val="single" w:color="CCCCCC" w:sz="1"/>
              <w:bottom w:val="single" w:color="CCCCCC" w:sz="1"/>
              <w:right w:val="single" w:color="CCCCCC" w:sz="1"/>
            </w:tcBorders>
            <w:shd w:fill="2E5FA3" w:val="clear"/>
            <w:tcMar>
              <w:top w:type="dxa" w:w="60"/>
              <w:left w:type="dxa" w:w="100"/>
              <w:bottom w:type="dxa" w:w="60"/>
              <w:right w:type="dxa" w:w="100"/>
            </w:tcMar>
          </w:tcPr>
          <w:p>
            <w:pPr>
              <w:spacing w:after="80" w:before="0"/>
              <w:jc w:val="left"/>
            </w:pPr>
            <w:r>
              <w:rPr>
                <w:rFonts w:ascii="Arial" w:cs="Arial" w:eastAsia="Arial" w:hAnsi="Arial"/>
                <w:color w:val="FFFFFF"/>
                <w:sz w:val="18"/>
                <w:szCs w:val="18"/>
              </w:rPr>
              <w:t xml:space="preserve">Memory &amp; Context Poisoning</w:t>
            </w:r>
          </w:p>
        </w:tc>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8"/>
                <w:szCs w:val="18"/>
              </w:rPr>
              <w:t xml:space="preserve"/>
            </w:r>
          </w:p>
        </w:tc>
      </w:tr>
      <w:tr>
        <w:tc>
          <w:tcPr>
            <w:tcW w:type="dxa" w:w="1400"/>
            <w:tcBorders>
              <w:top w:val="single" w:color="CCCCCC" w:sz="1"/>
              <w:left w:val="single" w:color="CCCCCC" w:sz="1"/>
              <w:bottom w:val="single" w:color="CCCCCC" w:sz="1"/>
              <w:right w:val="single" w:color="CCCCCC" w:sz="1"/>
            </w:tcBorders>
            <w:shd w:fill="2E5FA3"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ASI07</w:t>
            </w:r>
          </w:p>
        </w:tc>
        <w:tc>
          <w:tcPr>
            <w:tcW w:type="dxa" w:w="2480"/>
            <w:tcBorders>
              <w:top w:val="single" w:color="CCCCCC" w:sz="1"/>
              <w:left w:val="single" w:color="CCCCCC" w:sz="1"/>
              <w:bottom w:val="single" w:color="CCCCCC" w:sz="1"/>
              <w:right w:val="single" w:color="CCCCCC" w:sz="1"/>
            </w:tcBorders>
            <w:shd w:fill="2E5FA3" w:val="clear"/>
            <w:tcMar>
              <w:top w:type="dxa" w:w="60"/>
              <w:left w:type="dxa" w:w="100"/>
              <w:bottom w:type="dxa" w:w="60"/>
              <w:right w:type="dxa" w:w="100"/>
            </w:tcMar>
          </w:tcPr>
          <w:p>
            <w:pPr>
              <w:spacing w:after="80" w:before="0"/>
              <w:jc w:val="left"/>
            </w:pPr>
            <w:r>
              <w:rPr>
                <w:rFonts w:ascii="Arial" w:cs="Arial" w:eastAsia="Arial" w:hAnsi="Arial"/>
                <w:color w:val="FFFFFF"/>
                <w:sz w:val="18"/>
                <w:szCs w:val="18"/>
              </w:rPr>
              <w:t xml:space="preserve">Insecure Inter-Agent Communication</w:t>
            </w:r>
          </w:p>
        </w:tc>
        <w:tc>
          <w:tcPr>
            <w:tcW w:type="dxa" w:w="1400"/>
            <w:tcBorders>
              <w:top w:val="single" w:color="CCCCCC" w:sz="1"/>
              <w:left w:val="single" w:color="CCCCCC" w:sz="1"/>
              <w:bottom w:val="single" w:color="CCCCCC" w:sz="1"/>
              <w:right w:val="single" w:color="CCCCCC" w:sz="1"/>
            </w:tcBorders>
            <w:shd w:fill="1A6B5A"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ASI08</w:t>
            </w:r>
          </w:p>
        </w:tc>
        <w:tc>
          <w:tcPr>
            <w:tcW w:type="dxa" w:w="2480"/>
            <w:tcBorders>
              <w:top w:val="single" w:color="CCCCCC" w:sz="1"/>
              <w:left w:val="single" w:color="CCCCCC" w:sz="1"/>
              <w:bottom w:val="single" w:color="CCCCCC" w:sz="1"/>
              <w:right w:val="single" w:color="CCCCCC" w:sz="1"/>
            </w:tcBorders>
            <w:shd w:fill="1A6B5A" w:val="clear"/>
            <w:tcMar>
              <w:top w:type="dxa" w:w="60"/>
              <w:left w:type="dxa" w:w="100"/>
              <w:bottom w:type="dxa" w:w="60"/>
              <w:right w:type="dxa" w:w="100"/>
            </w:tcMar>
          </w:tcPr>
          <w:p>
            <w:pPr>
              <w:spacing w:after="80" w:before="0"/>
              <w:jc w:val="left"/>
            </w:pPr>
            <w:r>
              <w:rPr>
                <w:rFonts w:ascii="Arial" w:cs="Arial" w:eastAsia="Arial" w:hAnsi="Arial"/>
                <w:color w:val="FFFFFF"/>
                <w:sz w:val="18"/>
                <w:szCs w:val="18"/>
              </w:rPr>
              <w:t xml:space="preserve">Cascading Agent Failures</w:t>
            </w:r>
          </w:p>
        </w:tc>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8"/>
                <w:szCs w:val="18"/>
              </w:rPr>
              <w:t xml:space="preserve"/>
            </w:r>
          </w:p>
        </w:tc>
      </w:tr>
      <w:tr>
        <w:tc>
          <w:tcPr>
            <w:tcW w:type="dxa" w:w="1400"/>
            <w:tcBorders>
              <w:top w:val="single" w:color="CCCCCC" w:sz="1"/>
              <w:left w:val="single" w:color="CCCCCC" w:sz="1"/>
              <w:bottom w:val="single" w:color="CCCCCC" w:sz="1"/>
              <w:right w:val="single" w:color="CCCCCC" w:sz="1"/>
            </w:tcBorders>
            <w:shd w:fill="1A6B5A"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ASI09</w:t>
            </w:r>
          </w:p>
        </w:tc>
        <w:tc>
          <w:tcPr>
            <w:tcW w:type="dxa" w:w="2480"/>
            <w:tcBorders>
              <w:top w:val="single" w:color="CCCCCC" w:sz="1"/>
              <w:left w:val="single" w:color="CCCCCC" w:sz="1"/>
              <w:bottom w:val="single" w:color="CCCCCC" w:sz="1"/>
              <w:right w:val="single" w:color="CCCCCC" w:sz="1"/>
            </w:tcBorders>
            <w:shd w:fill="1A6B5A" w:val="clear"/>
            <w:tcMar>
              <w:top w:type="dxa" w:w="60"/>
              <w:left w:type="dxa" w:w="100"/>
              <w:bottom w:type="dxa" w:w="60"/>
              <w:right w:type="dxa" w:w="100"/>
            </w:tcMar>
          </w:tcPr>
          <w:p>
            <w:pPr>
              <w:spacing w:after="80" w:before="0"/>
              <w:jc w:val="left"/>
            </w:pPr>
            <w:r>
              <w:rPr>
                <w:rFonts w:ascii="Arial" w:cs="Arial" w:eastAsia="Arial" w:hAnsi="Arial"/>
                <w:color w:val="FFFFFF"/>
                <w:sz w:val="18"/>
                <w:szCs w:val="18"/>
              </w:rPr>
              <w:t xml:space="preserve">Human-Agent Trust Exploitation</w:t>
            </w:r>
          </w:p>
        </w:tc>
        <w:tc>
          <w:tcPr>
            <w:tcW w:type="dxa" w:w="1400"/>
            <w:tcBorders>
              <w:top w:val="single" w:color="CCCCCC" w:sz="1"/>
              <w:left w:val="single" w:color="CCCCCC" w:sz="1"/>
              <w:bottom w:val="single" w:color="CCCCCC" w:sz="1"/>
              <w:right w:val="single" w:color="CCCCCC" w:sz="1"/>
            </w:tcBorders>
            <w:shd w:fill="2E5FA3"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ASI10</w:t>
            </w:r>
          </w:p>
        </w:tc>
        <w:tc>
          <w:tcPr>
            <w:tcW w:type="dxa" w:w="2480"/>
            <w:tcBorders>
              <w:top w:val="single" w:color="CCCCCC" w:sz="1"/>
              <w:left w:val="single" w:color="CCCCCC" w:sz="1"/>
              <w:bottom w:val="single" w:color="CCCCCC" w:sz="1"/>
              <w:right w:val="single" w:color="CCCCCC" w:sz="1"/>
            </w:tcBorders>
            <w:shd w:fill="2E5FA3" w:val="clear"/>
            <w:tcMar>
              <w:top w:type="dxa" w:w="60"/>
              <w:left w:type="dxa" w:w="100"/>
              <w:bottom w:type="dxa" w:w="60"/>
              <w:right w:type="dxa" w:w="100"/>
            </w:tcMar>
          </w:tcPr>
          <w:p>
            <w:pPr>
              <w:spacing w:after="80" w:before="0"/>
              <w:jc w:val="left"/>
            </w:pPr>
            <w:r>
              <w:rPr>
                <w:rFonts w:ascii="Arial" w:cs="Arial" w:eastAsia="Arial" w:hAnsi="Arial"/>
                <w:color w:val="FFFFFF"/>
                <w:sz w:val="18"/>
                <w:szCs w:val="18"/>
              </w:rPr>
              <w:t xml:space="preserve">Rogue Agents</w:t>
            </w:r>
          </w:p>
        </w:tc>
        <w:tc>
          <w:tcPr>
            <w:tcW w:type="dxa" w:w="16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8"/>
                <w:szCs w:val="18"/>
              </w:rPr>
              <w:t xml:space="preserve"/>
            </w:r>
          </w:p>
        </w:tc>
      </w:tr>
    </w:tbl>
    <w:p>
      <w:pPr>
        <w:spacing w:after="120" w:before="0"/>
        <w:jc w:val="left"/>
      </w:pPr>
      <w:r>
        <w:rPr>
          <w:rFonts w:ascii="Arial" w:cs="Arial" w:eastAsia="Arial" w:hAnsi="Arial"/>
          <w:color w:val="000000"/>
          <w:sz w:val="20"/>
          <w:szCs w:val="20"/>
        </w:rPr>
        <w:t xml:space="preserve"/>
      </w:r>
    </w:p>
    <w:p>
      <w:pPr>
        <w:spacing w:after="120" w:before="0"/>
        <w:jc w:val="left"/>
      </w:pPr>
      <w:r>
        <w:rPr>
          <w:rFonts w:ascii="Arial" w:cs="Arial" w:eastAsia="Arial" w:hAnsi="Arial"/>
          <w:i/>
          <w:iCs/>
          <w:color w:val="4A4A4A"/>
          <w:sz w:val="19"/>
          <w:szCs w:val="19"/>
        </w:rPr>
        <w:t xml:space="preserve">Key Insight: AAC coverage of the OWASP Agentic Top 10 is the strongest of the three crosswalks. Nine of ten risks are fully covered. ASI04 (Agentic Supply Chain) has a partial gap in dynamic runtime component integrity — this is the one area where additional controls would strengthen the framework. The combination of ZT-75 (instruction isolation), AO-54 (cross-agent isolation), and DA-63 (centralized enforcement boundary) addresses the highest-severity risks (ASI01, ASI05, ASI07) with strong architectural specificity.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800"/>
        <w:gridCol w:w="1800"/>
        <w:gridCol w:w="800"/>
        <w:gridCol w:w="4960"/>
      </w:tblGrid>
      <w:tr>
        <w:tc>
          <w:tcPr>
            <w:tcW w:type="dxa" w:w="18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AAC Controls</w:t>
            </w:r>
          </w:p>
        </w:tc>
        <w:tc>
          <w:tcPr>
            <w:tcW w:type="dxa" w:w="18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OWASP Risk</w:t>
            </w:r>
          </w:p>
        </w:tc>
        <w:tc>
          <w:tcPr>
            <w:tcW w:type="dxa" w:w="8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Coverage</w:t>
            </w:r>
          </w:p>
        </w:tc>
        <w:tc>
          <w:tcPr>
            <w:tcW w:type="dxa" w:w="496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Mitigation Mechanism</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AAC-ZT-75 + AO-54</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val="false"/>
                <w:bCs w:val="false"/>
                <w:color w:val="000000"/>
                <w:sz w:val="17"/>
                <w:szCs w:val="17"/>
              </w:rPr>
              <w:t xml:space="preserve">ASI01: Agent Goal Hijack</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49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ZT-75 (instruction isolation) directly prevents goal hijacking via prompt injection. AO-54 (cross-agent isolation) prevents goal propagation via agent delegation.</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AAC-ZT-71 + AO-58 + OG-23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val="false"/>
                <w:bCs w:val="false"/>
                <w:color w:val="000000"/>
                <w:sz w:val="17"/>
                <w:szCs w:val="17"/>
              </w:rPr>
              <w:t xml:space="preserve">ASI02: Tool Misuse &amp; Exploitation</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ZT-71 (hostile input validation) prevents malicious inputs from reaching tools. OG-23 (justify scope) limits tool access to task requirements. AO-58 (resource constraint) prevents resource exhaustion via tool abuse.</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AAC-TS-13 + AO-54 + ZT-65 + ZT-66</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val="false"/>
                <w:bCs w:val="false"/>
                <w:color w:val="000000"/>
                <w:sz w:val="17"/>
                <w:szCs w:val="17"/>
              </w:rPr>
              <w:t xml:space="preserve">ASI03: Identity &amp; Privilege Abuse</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49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TS-13 (trust provenance) prevents transitive trust inheritance. AO-54 prevents cross-agent permission inheritance. ZT-65 (least privilege) and ZT-66 (short-lived credentials) directly mitigate credential abuse and privilege escalation.</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AAC-ZT-71 + OG-24 + AO-56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val="false"/>
                <w:bCs w:val="false"/>
                <w:color w:val="000000"/>
                <w:sz w:val="17"/>
                <w:szCs w:val="17"/>
              </w:rPr>
              <w:t xml:space="preserve">ASI04: Agentic Supply Chain Vulnerabilities</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ZT-71 (hostile validation) covers input-side supply chain poisoning. OG-24 (governance as code) requires versioned artifact management. AO-56 (governed feedback loop) monitors for adversarial signal injection. Dynamic runtime component integrity verification has no direct AAC control — gap.</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AAC-ZT-75 + ZT-71 + DA-63</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val="false"/>
                <w:bCs w:val="false"/>
                <w:color w:val="000000"/>
                <w:sz w:val="17"/>
                <w:szCs w:val="17"/>
              </w:rPr>
              <w:t xml:space="preserve">ASI05: Unexpected Code Execution</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49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ZT-75 (instruction isolation) prevents natural language inputs from being executed as code. ZT-71 (sandboxed execution) contains adversarial inputs. DA-63 (centralized enforcement boundary) prevents execution bypassing arbitration.</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AAC-ZT-75 + AO-56 + DP-07</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val="false"/>
                <w:bCs w:val="false"/>
                <w:color w:val="000000"/>
                <w:sz w:val="17"/>
                <w:szCs w:val="17"/>
              </w:rPr>
              <w:t xml:space="preserve">ASI06: Memory &amp; Context Poisoning</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ZT-75 (instruction isolation) prevents raw instruction injection into context. AO-56 (governed feedback loop) monitors for adversarial signal injection into memory/training. DP-07 (audit trail) enables forensic reconstruction. Long-term memory integrity validation is a partial gap.</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AAC-ZT-68 + AO-54 + ZT-64</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val="false"/>
                <w:bCs w:val="false"/>
                <w:color w:val="000000"/>
                <w:sz w:val="17"/>
                <w:szCs w:val="17"/>
              </w:rPr>
              <w:t xml:space="preserve">ASI07: Insecure Inter-Agent Communication</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49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ZT-68 (authenticated propagation) requires mutual authentication for all inter-agent communication. AO-54 (cross-agent isolation) prevents unauthorized delegation. ZT-64 (no implicit trust) applies at every inter-agent boundary.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AAC-RS-34 + RS-36 + RS-39 + DA-61</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val="false"/>
                <w:bCs w:val="false"/>
                <w:color w:val="000000"/>
                <w:sz w:val="17"/>
                <w:szCs w:val="17"/>
              </w:rPr>
              <w:t xml:space="preserve">ASI08: Cascading Agent Failures</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RS-34 (no single point of failure) prevents cascade initiation. RS-36 (circuit breakers) contain cascades at dependency boundaries. RS-39 (system safe mode) activates when cascade indicators are detected. DA-61 (liveness guarantee) prevents cascade-induced deadlock.</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AAC-AI-13 + AI-12 + DA-60 + TS-14</w:t>
            </w:r>
          </w:p>
        </w:tc>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val="false"/>
                <w:bCs w:val="false"/>
                <w:color w:val="000000"/>
                <w:sz w:val="17"/>
                <w:szCs w:val="17"/>
              </w:rPr>
              <w:t xml:space="preserve">ASI09: Human-Agent Trust Exploitation</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49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AI-13 (trust calibration) prevents over-reliance by ensuring confidence signals are accurate. AI-12 (human override) maintains human control. DA-60 (arbitration layer) enforces human sovereignty constraints at step 4. TS-14 (graduated trust) prevents premature trust extension.</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AAC-OG-25 + AO-51 + RS-39 + DA-63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val="false"/>
                <w:bCs w:val="false"/>
                <w:color w:val="000000"/>
                <w:sz w:val="17"/>
                <w:szCs w:val="17"/>
              </w:rPr>
              <w:t xml:space="preserve">ASI10: Rogue Agents</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OG-25 (policy enforcement integrity) detects behavioral divergence from declared policy. AO-51 (self-monitoring) detects performance and behavioral anomalies. RS-39 (system safe mode) responds to system-wide integrity signals. DA-63 (centralized enforcement boundary) prevents rogue agents from bypassing governance.</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4A1A6B"/>
                <w:sz w:val="17"/>
                <w:szCs w:val="17"/>
              </w:rPr>
              <w:t xml:space="preserve">AAC-ZT-75</w:t>
            </w:r>
          </w:p>
        </w:tc>
        <w:tc>
          <w:tcPr>
            <w:tcW w:type="dxa" w:w="1800"/>
            <w:tcBorders>
              <w:top w:val="single" w:color="CCCCCC" w:sz="1"/>
              <w:left w:val="single" w:color="CCCCCC" w:sz="1"/>
              <w:bottom w:val="single" w:color="CCCCCC" w:sz="1"/>
              <w:right w:val="single" w:color="CCCCCC" w:sz="1"/>
            </w:tcBorders>
            <w:shd w:fill="EDD6F7" w:val="clear"/>
            <w:tcMar>
              <w:top w:type="dxa" w:w="60"/>
              <w:left w:type="dxa" w:w="100"/>
              <w:bottom w:type="dxa" w:w="60"/>
              <w:right w:type="dxa" w:w="100"/>
            </w:tcMar>
          </w:tcPr>
          <w:p>
            <w:pPr>
              <w:spacing w:after="80" w:before="0"/>
              <w:jc w:val="left"/>
            </w:pPr>
            <w:r>
              <w:rPr>
                <w:rFonts w:ascii="Arial" w:cs="Arial" w:eastAsia="Arial" w:hAnsi="Arial"/>
                <w:b/>
                <w:bCs/>
                <w:color w:val="000000"/>
                <w:sz w:val="17"/>
                <w:szCs w:val="17"/>
              </w:rPr>
              <w:t xml:space="preserve">LLM01:2025 Prompt Injection</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49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ZT-75 directly addresses prompt injection through instruction isolation — natural language treated as untrusted data, never executed as system directive.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4A1A6B"/>
                <w:sz w:val="17"/>
                <w:szCs w:val="17"/>
              </w:rPr>
              <w:t xml:space="preserve">AAC-DP-09 + DP-06</w:t>
            </w:r>
          </w:p>
        </w:tc>
        <w:tc>
          <w:tcPr>
            <w:tcW w:type="dxa" w:w="1800"/>
            <w:tcBorders>
              <w:top w:val="single" w:color="CCCCCC" w:sz="1"/>
              <w:left w:val="single" w:color="CCCCCC" w:sz="1"/>
              <w:bottom w:val="single" w:color="CCCCCC" w:sz="1"/>
              <w:right w:val="single" w:color="CCCCCC" w:sz="1"/>
            </w:tcBorders>
            <w:shd w:fill="EDD6F7" w:val="clear"/>
            <w:tcMar>
              <w:top w:type="dxa" w:w="60"/>
              <w:left w:type="dxa" w:w="100"/>
              <w:bottom w:type="dxa" w:w="60"/>
              <w:right w:type="dxa" w:w="100"/>
            </w:tcMar>
          </w:tcPr>
          <w:p>
            <w:pPr>
              <w:spacing w:after="80" w:before="0"/>
              <w:jc w:val="left"/>
            </w:pPr>
            <w:r>
              <w:rPr>
                <w:rFonts w:ascii="Arial" w:cs="Arial" w:eastAsia="Arial" w:hAnsi="Arial"/>
                <w:b/>
                <w:bCs/>
                <w:color w:val="000000"/>
                <w:sz w:val="17"/>
                <w:szCs w:val="17"/>
              </w:rPr>
              <w:t xml:space="preserve">LLM02:2025 Sensitive Information Disclosure</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DP-09 (least disclosure) governs what data is returned at response boundaries. DP-06 (collect minimum) limits what is stored. Together they address both storage and output disclosure.</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4A1A6B"/>
                <w:sz w:val="17"/>
                <w:szCs w:val="17"/>
              </w:rPr>
              <w:t xml:space="preserve">AAC-ZT-71 + OG-24</w:t>
            </w:r>
          </w:p>
        </w:tc>
        <w:tc>
          <w:tcPr>
            <w:tcW w:type="dxa" w:w="1800"/>
            <w:tcBorders>
              <w:top w:val="single" w:color="CCCCCC" w:sz="1"/>
              <w:left w:val="single" w:color="CCCCCC" w:sz="1"/>
              <w:bottom w:val="single" w:color="CCCCCC" w:sz="1"/>
              <w:right w:val="single" w:color="CCCCCC" w:sz="1"/>
            </w:tcBorders>
            <w:shd w:fill="EDD6F7" w:val="clear"/>
            <w:tcMar>
              <w:top w:type="dxa" w:w="60"/>
              <w:left w:type="dxa" w:w="100"/>
              <w:bottom w:type="dxa" w:w="60"/>
              <w:right w:type="dxa" w:w="100"/>
            </w:tcMar>
          </w:tcPr>
          <w:p>
            <w:pPr>
              <w:spacing w:after="80" w:before="0"/>
              <w:jc w:val="left"/>
            </w:pPr>
            <w:r>
              <w:rPr>
                <w:rFonts w:ascii="Arial" w:cs="Arial" w:eastAsia="Arial" w:hAnsi="Arial"/>
                <w:b/>
                <w:bCs/>
                <w:color w:val="000000"/>
                <w:sz w:val="17"/>
                <w:szCs w:val="17"/>
              </w:rPr>
              <w:t xml:space="preserve">LLM03:2025 Supply Chain</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49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ZT-71 covers input-side supply chain validation. OG-24 (governance as code) requires versioned artifacts. Model supply chain validation (training data, model weights) requires additional controls beyond current AAC scope.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4A1A6B"/>
                <w:sz w:val="17"/>
                <w:szCs w:val="17"/>
              </w:rPr>
              <w:t xml:space="preserve">AAC-AI-12 + AI-10 + AO-55</w:t>
            </w:r>
          </w:p>
        </w:tc>
        <w:tc>
          <w:tcPr>
            <w:tcW w:type="dxa" w:w="1800"/>
            <w:tcBorders>
              <w:top w:val="single" w:color="CCCCCC" w:sz="1"/>
              <w:left w:val="single" w:color="CCCCCC" w:sz="1"/>
              <w:bottom w:val="single" w:color="CCCCCC" w:sz="1"/>
              <w:right w:val="single" w:color="CCCCCC" w:sz="1"/>
            </w:tcBorders>
            <w:shd w:fill="EDD6F7" w:val="clear"/>
            <w:tcMar>
              <w:top w:type="dxa" w:w="60"/>
              <w:left w:type="dxa" w:w="100"/>
              <w:bottom w:type="dxa" w:w="60"/>
              <w:right w:type="dxa" w:w="100"/>
            </w:tcMar>
          </w:tcPr>
          <w:p>
            <w:pPr>
              <w:spacing w:after="80" w:before="0"/>
              <w:jc w:val="left"/>
            </w:pPr>
            <w:r>
              <w:rPr>
                <w:rFonts w:ascii="Arial" w:cs="Arial" w:eastAsia="Arial" w:hAnsi="Arial"/>
                <w:b/>
                <w:bCs/>
                <w:color w:val="000000"/>
                <w:sz w:val="17"/>
                <w:szCs w:val="17"/>
              </w:rPr>
              <w:t xml:space="preserve">LLM06:2025 Excessive Agency</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AI-12 (human override) and AI-10 (confidence thresholds) directly address excessive agency. AO-55 (escalation hierarchy) ensures unconstrained actions are escalated before execution.</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4A1A6B"/>
                <w:sz w:val="17"/>
                <w:szCs w:val="17"/>
              </w:rPr>
              <w:t xml:space="preserve">AAC-DP-07 + ZT-75</w:t>
            </w:r>
          </w:p>
        </w:tc>
        <w:tc>
          <w:tcPr>
            <w:tcW w:type="dxa" w:w="1800"/>
            <w:tcBorders>
              <w:top w:val="single" w:color="CCCCCC" w:sz="1"/>
              <w:left w:val="single" w:color="CCCCCC" w:sz="1"/>
              <w:bottom w:val="single" w:color="CCCCCC" w:sz="1"/>
              <w:right w:val="single" w:color="CCCCCC" w:sz="1"/>
            </w:tcBorders>
            <w:shd w:fill="EDD6F7" w:val="clear"/>
            <w:tcMar>
              <w:top w:type="dxa" w:w="60"/>
              <w:left w:type="dxa" w:w="100"/>
              <w:bottom w:type="dxa" w:w="60"/>
              <w:right w:type="dxa" w:w="100"/>
            </w:tcMar>
          </w:tcPr>
          <w:p>
            <w:pPr>
              <w:spacing w:after="80" w:before="0"/>
              <w:jc w:val="left"/>
            </w:pPr>
            <w:r>
              <w:rPr>
                <w:rFonts w:ascii="Arial" w:cs="Arial" w:eastAsia="Arial" w:hAnsi="Arial"/>
                <w:b/>
                <w:bCs/>
                <w:color w:val="000000"/>
                <w:sz w:val="17"/>
                <w:szCs w:val="17"/>
              </w:rPr>
              <w:t xml:space="preserve">LLM07:2025 System Prompt Leakage</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49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DP-07 (audit trail captures what was processed) and ZT-75 (instruction isolation at architectural level) together address system prompt leakage. Proactive protection against leakage through model-level filtering alone remains a partial gap.</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4A1A6B"/>
                <w:sz w:val="17"/>
                <w:szCs w:val="17"/>
              </w:rPr>
              <w:t xml:space="preserve">AAC-AO-58 + RS-36</w:t>
            </w:r>
          </w:p>
        </w:tc>
        <w:tc>
          <w:tcPr>
            <w:tcW w:type="dxa" w:w="1800"/>
            <w:tcBorders>
              <w:top w:val="single" w:color="CCCCCC" w:sz="1"/>
              <w:left w:val="single" w:color="CCCCCC" w:sz="1"/>
              <w:bottom w:val="single" w:color="CCCCCC" w:sz="1"/>
              <w:right w:val="single" w:color="CCCCCC" w:sz="1"/>
            </w:tcBorders>
            <w:shd w:fill="EDD6F7" w:val="clear"/>
            <w:tcMar>
              <w:top w:type="dxa" w:w="60"/>
              <w:left w:type="dxa" w:w="100"/>
              <w:bottom w:type="dxa" w:w="60"/>
              <w:right w:type="dxa" w:w="100"/>
            </w:tcMar>
          </w:tcPr>
          <w:p>
            <w:pPr>
              <w:spacing w:after="80" w:before="0"/>
              <w:jc w:val="left"/>
            </w:pPr>
            <w:r>
              <w:rPr>
                <w:rFonts w:ascii="Arial" w:cs="Arial" w:eastAsia="Arial" w:hAnsi="Arial"/>
                <w:b/>
                <w:bCs/>
                <w:color w:val="000000"/>
                <w:sz w:val="17"/>
                <w:szCs w:val="17"/>
              </w:rPr>
              <w:t xml:space="preserve">LLM10:2025 Unbounded Consumption</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49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AO-58 (resource constraint) directly addresses compute budget and API quota limits. RS-36 (circuit breakers) prevents runaway consumption from cascading to platform-wide impact.</w:t>
            </w:r>
          </w:p>
        </w:tc>
      </w:tr>
    </w:tbl>
    <w:p>
      <w:pPr>
        <w:spacing w:after="80" w:before="0"/>
        <w:jc w:val="left"/>
      </w:pPr>
      <w:r>
        <w:rPr>
          <w:rFonts w:ascii="Arial" w:cs="Arial" w:eastAsia="Arial" w:hAnsi="Arial"/>
          <w:color w:val="000000"/>
          <w:sz w:val="20"/>
          <w:szCs w:val="20"/>
        </w:rPr>
        <w:t xml:space="preserve"/>
      </w:r>
    </w:p>
    <w:p>
      <w:pPr>
        <w:spacing w:after="80" w:before="0"/>
        <w:jc w:val="left"/>
      </w:pPr>
      <w:r>
        <w:rPr>
          <w:rFonts w:ascii="Arial" w:cs="Arial" w:eastAsia="Arial" w:hAnsi="Arial"/>
          <w:i/>
          <w:iCs/>
          <w:color w:val="4A1A6B"/>
          <w:sz w:val="17"/>
          <w:szCs w:val="17"/>
        </w:rPr>
        <w:t xml:space="preserve">† LLM Top 10 rows shown in purple indicate mappings to the OWASP Top 10 for LLM Applications 2025, which overlaps with agentic risks in several categories. Full LLM crosswalk available on request.</w:t>
      </w:r>
    </w:p>
    <w:p>
      <w:r>
        <w:br w:type="page"/>
      </w:r>
    </w:p>
    <w:p>
      <w:pPr>
        <w:pStyle w:val="Heading1"/>
        <w:pBdr>
          <w:bottom w:val="single" w:color="1B3A6B" w:sz="6" w:space="1"/>
        </w:pBdr>
        <w:spacing w:after="140" w:before="320"/>
      </w:pPr>
      <w:r>
        <w:rPr>
          <w:rFonts w:ascii="Arial" w:cs="Arial" w:eastAsia="Arial" w:hAnsi="Arial"/>
          <w:b/>
          <w:bCs/>
          <w:color w:val="1B3A6B"/>
          <w:sz w:val="30"/>
          <w:szCs w:val="30"/>
        </w:rPr>
        <w:t xml:space="preserve">Section 3 — NIST AI Risk Management Framework 1.0</w:t>
      </w:r>
    </w:p>
    <w:p>
      <w:pPr>
        <w:spacing w:after="80" w:before="0"/>
        <w:jc w:val="left"/>
      </w:pPr>
      <w:r>
        <w:rPr>
          <w:rFonts w:ascii="Arial" w:cs="Arial" w:eastAsia="Arial" w:hAnsi="Arial"/>
          <w:b/>
          <w:bCs/>
          <w:color w:val="000000"/>
          <w:sz w:val="19"/>
          <w:szCs w:val="19"/>
        </w:rPr>
        <w:t xml:space="preserve">Framework: </w:t>
      </w:r>
      <w:r>
        <w:rPr>
          <w:rFonts w:ascii="Arial" w:cs="Arial" w:eastAsia="Arial" w:hAnsi="Arial"/>
          <w:color w:val="000000"/>
          <w:sz w:val="19"/>
          <w:szCs w:val="19"/>
        </w:rPr>
        <w:t xml:space="preserve">NIST AI RMF 1.0 (NIST AI 100-1) · Published January 2023 · NIST, U.S. Department of Commerce · </w:t>
      </w:r>
      <w:r>
        <w:rPr>
          <w:rFonts w:ascii="Arial" w:cs="Arial" w:eastAsia="Arial" w:hAnsi="Arial"/>
          <w:i/>
          <w:iCs/>
          <w:color w:val="000000"/>
          <w:sz w:val="19"/>
          <w:szCs w:val="19"/>
        </w:rPr>
        <w:t xml:space="preserve">airc.nist.gov</w:t>
      </w:r>
    </w:p>
    <w:p>
      <w:pPr>
        <w:spacing w:after="60" w:before="0"/>
        <w:jc w:val="left"/>
      </w:pPr>
      <w:r>
        <w:rPr>
          <w:rFonts w:ascii="Arial" w:cs="Arial" w:eastAsia="Arial" w:hAnsi="Arial"/>
          <w:color w:val="000000"/>
          <w:sz w:val="20"/>
          <w:szCs w:val="20"/>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center"/>
            </w:pPr>
            <w:r>
              <w:rPr>
                <w:rFonts w:ascii="Arial" w:cs="Arial" w:eastAsia="Arial" w:hAnsi="Arial"/>
                <w:b/>
                <w:bCs/>
                <w:color w:val="FFFFFF"/>
                <w:sz w:val="20"/>
                <w:szCs w:val="20"/>
              </w:rPr>
              <w:t xml:space="preserve">GOVERN</w:t>
            </w:r>
          </w:p>
          <w:p>
            <w:pPr>
              <w:spacing w:after="80" w:before="0"/>
              <w:jc w:val="center"/>
            </w:pPr>
            <w:r>
              <w:rPr>
                <w:rFonts w:ascii="Arial" w:cs="Arial" w:eastAsia="Arial" w:hAnsi="Arial"/>
                <w:color w:val="DDEEFF"/>
                <w:sz w:val="17"/>
                <w:szCs w:val="17"/>
              </w:rPr>
              <w:t xml:space="preserve">Policies, accountability, culture of risk management</w:t>
            </w:r>
          </w:p>
        </w:tc>
        <w:tc>
          <w:tcPr>
            <w:tcW w:type="dxa" w:w="2340"/>
            <w:tcBorders>
              <w:top w:val="single" w:color="2E5FA3" w:sz="1"/>
              <w:left w:val="single" w:color="2E5FA3" w:sz="1"/>
              <w:bottom w:val="single" w:color="2E5FA3" w:sz="1"/>
              <w:right w:val="single" w:color="2E5FA3" w:sz="1"/>
            </w:tcBorders>
            <w:shd w:fill="2E5FA3" w:val="clear"/>
            <w:tcMar>
              <w:top w:type="dxa" w:w="60"/>
              <w:left w:type="dxa" w:w="100"/>
              <w:bottom w:type="dxa" w:w="60"/>
              <w:right w:type="dxa" w:w="100"/>
            </w:tcMar>
          </w:tcPr>
          <w:p>
            <w:pPr>
              <w:spacing w:after="80" w:before="0"/>
              <w:jc w:val="center"/>
            </w:pPr>
            <w:r>
              <w:rPr>
                <w:rFonts w:ascii="Arial" w:cs="Arial" w:eastAsia="Arial" w:hAnsi="Arial"/>
                <w:b/>
                <w:bCs/>
                <w:color w:val="FFFFFF"/>
                <w:sz w:val="20"/>
                <w:szCs w:val="20"/>
              </w:rPr>
              <w:t xml:space="preserve">MAP</w:t>
            </w:r>
          </w:p>
          <w:p>
            <w:pPr>
              <w:spacing w:after="80" w:before="0"/>
              <w:jc w:val="center"/>
            </w:pPr>
            <w:r>
              <w:rPr>
                <w:rFonts w:ascii="Arial" w:cs="Arial" w:eastAsia="Arial" w:hAnsi="Arial"/>
                <w:color w:val="DDEEFF"/>
                <w:sz w:val="17"/>
                <w:szCs w:val="17"/>
              </w:rPr>
              <w:t xml:space="preserve">Context, risk identification, impact assessment</w:t>
            </w:r>
          </w:p>
        </w:tc>
        <w:tc>
          <w:tcPr>
            <w:tcW w:type="dxa" w:w="2340"/>
            <w:tcBorders>
              <w:top w:val="single" w:color="1A6B5A" w:sz="1"/>
              <w:left w:val="single" w:color="1A6B5A" w:sz="1"/>
              <w:bottom w:val="single" w:color="1A6B5A" w:sz="1"/>
              <w:right w:val="single" w:color="1A6B5A" w:sz="1"/>
            </w:tcBorders>
            <w:shd w:fill="1A6B5A" w:val="clear"/>
            <w:tcMar>
              <w:top w:type="dxa" w:w="60"/>
              <w:left w:type="dxa" w:w="100"/>
              <w:bottom w:type="dxa" w:w="60"/>
              <w:right w:type="dxa" w:w="100"/>
            </w:tcMar>
          </w:tcPr>
          <w:p>
            <w:pPr>
              <w:spacing w:after="80" w:before="0"/>
              <w:jc w:val="center"/>
            </w:pPr>
            <w:r>
              <w:rPr>
                <w:rFonts w:ascii="Arial" w:cs="Arial" w:eastAsia="Arial" w:hAnsi="Arial"/>
                <w:b/>
                <w:bCs/>
                <w:color w:val="FFFFFF"/>
                <w:sz w:val="20"/>
                <w:szCs w:val="20"/>
              </w:rPr>
              <w:t xml:space="preserve">MEASURE</w:t>
            </w:r>
          </w:p>
          <w:p>
            <w:pPr>
              <w:spacing w:after="80" w:before="0"/>
              <w:jc w:val="center"/>
            </w:pPr>
            <w:r>
              <w:rPr>
                <w:rFonts w:ascii="Arial" w:cs="Arial" w:eastAsia="Arial" w:hAnsi="Arial"/>
                <w:color w:val="DDEEFF"/>
                <w:sz w:val="17"/>
                <w:szCs w:val="17"/>
              </w:rPr>
              <w:t xml:space="preserve">Quantitative and qualitative risk assessment</w:t>
            </w:r>
          </w:p>
        </w:tc>
        <w:tc>
          <w:tcPr>
            <w:tcW w:type="dxa" w:w="2340"/>
            <w:tcBorders>
              <w:top w:val="single" w:color="6B4A1A" w:sz="1"/>
              <w:left w:val="single" w:color="6B4A1A" w:sz="1"/>
              <w:bottom w:val="single" w:color="6B4A1A" w:sz="1"/>
              <w:right w:val="single" w:color="6B4A1A" w:sz="1"/>
            </w:tcBorders>
            <w:shd w:fill="6B4A1A" w:val="clear"/>
            <w:tcMar>
              <w:top w:type="dxa" w:w="60"/>
              <w:left w:type="dxa" w:w="100"/>
              <w:bottom w:type="dxa" w:w="60"/>
              <w:right w:type="dxa" w:w="100"/>
            </w:tcMar>
          </w:tcPr>
          <w:p>
            <w:pPr>
              <w:spacing w:after="80" w:before="0"/>
              <w:jc w:val="center"/>
            </w:pPr>
            <w:r>
              <w:rPr>
                <w:rFonts w:ascii="Arial" w:cs="Arial" w:eastAsia="Arial" w:hAnsi="Arial"/>
                <w:b/>
                <w:bCs/>
                <w:color w:val="FFFFFF"/>
                <w:sz w:val="20"/>
                <w:szCs w:val="20"/>
              </w:rPr>
              <w:t xml:space="preserve">MANAGE</w:t>
            </w:r>
          </w:p>
          <w:p>
            <w:pPr>
              <w:spacing w:after="80" w:before="0"/>
              <w:jc w:val="center"/>
            </w:pPr>
            <w:r>
              <w:rPr>
                <w:rFonts w:ascii="Arial" w:cs="Arial" w:eastAsia="Arial" w:hAnsi="Arial"/>
                <w:color w:val="DDEEFF"/>
                <w:sz w:val="17"/>
                <w:szCs w:val="17"/>
              </w:rPr>
              <w:t xml:space="preserve">Risk treatment, monitoring, and lifecycle</w:t>
            </w:r>
          </w:p>
        </w:tc>
      </w:tr>
    </w:tbl>
    <w:p>
      <w:pPr>
        <w:spacing w:after="120" w:before="0"/>
        <w:jc w:val="left"/>
      </w:pPr>
      <w:r>
        <w:rPr>
          <w:rFonts w:ascii="Arial" w:cs="Arial" w:eastAsia="Arial" w:hAnsi="Arial"/>
          <w:color w:val="000000"/>
          <w:sz w:val="20"/>
          <w:szCs w:val="20"/>
        </w:rPr>
        <w:t xml:space="preserve"/>
      </w:r>
    </w:p>
    <w:p>
      <w:pPr>
        <w:spacing w:after="120" w:before="0"/>
        <w:jc w:val="left"/>
      </w:pPr>
      <w:r>
        <w:rPr>
          <w:rFonts w:ascii="Arial" w:cs="Arial" w:eastAsia="Arial" w:hAnsi="Arial"/>
          <w:i/>
          <w:iCs/>
          <w:color w:val="4A4A4A"/>
          <w:sz w:val="19"/>
          <w:szCs w:val="19"/>
        </w:rPr>
        <w:t xml:space="preserve">Key Insight: The AAC maps most strongly to NIST's GOVERN and MANAGE functions. The DNH directive set directly satisfies GOVERN 6.1. The OG domain (OG-23, OG-24, OG-25) addresses GOVERN 1.1–1.4. The AO and RS domains cover the MANAGE lifecycle requirements. The primary gap is in MEASURE 2.11 (structured pre-deployment fairness testing) — the AAC has the right principles but delegates the specifics to implementation profiles, which NIST expects to be more prescriptive. This is the area where the AAC Implementation Profile template adds the most value.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800"/>
        <w:gridCol w:w="800"/>
        <w:gridCol w:w="2560"/>
        <w:gridCol w:w="800"/>
        <w:gridCol w:w="3400"/>
      </w:tblGrid>
      <w:tr>
        <w:tc>
          <w:tcPr>
            <w:tcW w:type="dxa" w:w="18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AAC Controls</w:t>
            </w:r>
          </w:p>
        </w:tc>
        <w:tc>
          <w:tcPr>
            <w:tcW w:type="dxa" w:w="8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Function</w:t>
            </w:r>
          </w:p>
        </w:tc>
        <w:tc>
          <w:tcPr>
            <w:tcW w:type="dxa" w:w="256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NIST Category / Subcategory</w:t>
            </w:r>
          </w:p>
        </w:tc>
        <w:tc>
          <w:tcPr>
            <w:tcW w:type="dxa" w:w="8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Coverage</w:t>
            </w:r>
          </w:p>
        </w:tc>
        <w:tc>
          <w:tcPr>
            <w:tcW w:type="dxa" w:w="34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Notes</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AAC-OG-23, OG-24, OG-25</w:t>
            </w:r>
          </w:p>
        </w:tc>
        <w:tc>
          <w:tcPr>
            <w:tcW w:type="dxa" w:w="800"/>
            <w:tcBorders>
              <w:top w:val="single" w:color="CCCCCC" w:sz="1"/>
              <w:left w:val="single" w:color="CCCCCC" w:sz="1"/>
              <w:bottom w:val="single" w:color="CCCCCC" w:sz="1"/>
              <w:right w:val="single" w:color="CCCCCC" w:sz="1"/>
            </w:tcBorders>
            <w:shd w:fill="D6E4F7"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GOVERN</w:t>
            </w:r>
          </w:p>
        </w:tc>
        <w:tc>
          <w:tcPr>
            <w:tcW w:type="dxa" w:w="2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GOVERN 1.1: Legal &amp; regulatory requirements understood and managed</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OG-24 (governance as code) and OG-25 (policy enforcement integrity) address policy management. GOVERN 1.1 is broader, covering regulatory compliance — AAC leaves regulatory mapping to implementation profiles.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AAC-OG-24 + AO-52 + TS-14</w:t>
            </w:r>
          </w:p>
        </w:tc>
        <w:tc>
          <w:tcPr>
            <w:tcW w:type="dxa" w:w="800"/>
            <w:tcBorders>
              <w:top w:val="single" w:color="CCCCCC" w:sz="1"/>
              <w:left w:val="single" w:color="CCCCCC" w:sz="1"/>
              <w:bottom w:val="single" w:color="CCCCCC" w:sz="1"/>
              <w:right w:val="single" w:color="CCCCCC" w:sz="1"/>
            </w:tcBorders>
            <w:shd w:fill="D6E4F7"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GOVERN</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GOVERN 1.2: Trustworthy AI characteristics integrated into policies</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OG-24 (governance artifacts as first-class components) directly satisfies GOVERN 1.2. AO-52 and TS-14 provide the trust tier governance structure NIST expects.</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AAC-DA-59 + DA-60 + RS-39</w:t>
            </w:r>
          </w:p>
        </w:tc>
        <w:tc>
          <w:tcPr>
            <w:tcW w:type="dxa" w:w="800"/>
            <w:tcBorders>
              <w:top w:val="single" w:color="CCCCCC" w:sz="1"/>
              <w:left w:val="single" w:color="CCCCCC" w:sz="1"/>
              <w:bottom w:val="single" w:color="CCCCCC" w:sz="1"/>
              <w:right w:val="single" w:color="CCCCCC" w:sz="1"/>
            </w:tcBorders>
            <w:shd w:fill="D6E4F7"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GOVERN</w:t>
            </w:r>
          </w:p>
        </w:tc>
        <w:tc>
          <w:tcPr>
            <w:tcW w:type="dxa" w:w="2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GOVERN 1.3: Risk management level determined by risk tolerance</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DA-59 (harm classification) provides the risk tier model. DA-60 (arbitration sequence) applies it. RS-39 (safe mode) is the operational risk response mechanism.</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AAC-OG-24 + OG-25 + DP-07</w:t>
            </w:r>
          </w:p>
        </w:tc>
        <w:tc>
          <w:tcPr>
            <w:tcW w:type="dxa" w:w="800"/>
            <w:tcBorders>
              <w:top w:val="single" w:color="CCCCCC" w:sz="1"/>
              <w:left w:val="single" w:color="CCCCCC" w:sz="1"/>
              <w:bottom w:val="single" w:color="CCCCCC" w:sz="1"/>
              <w:right w:val="single" w:color="CCCCCC" w:sz="1"/>
            </w:tcBorders>
            <w:shd w:fill="D6E4F7"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GOVERN</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GOVERN 1.4: Risk management outcomes documented through transparent policies</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OG-24 (versioned governance artifacts), OG-25 (runtime policy validation), and DP-07 (immutable audit trail) collectively satisfy GOVERN 1.4's transparency requirement.</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AAC-OG-23 + AO-52</w:t>
            </w:r>
          </w:p>
        </w:tc>
        <w:tc>
          <w:tcPr>
            <w:tcW w:type="dxa" w:w="800"/>
            <w:tcBorders>
              <w:top w:val="single" w:color="CCCCCC" w:sz="1"/>
              <w:left w:val="single" w:color="CCCCCC" w:sz="1"/>
              <w:bottom w:val="single" w:color="CCCCCC" w:sz="1"/>
              <w:right w:val="single" w:color="CCCCCC" w:sz="1"/>
            </w:tcBorders>
            <w:shd w:fill="D6E4F7"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GOVERN</w:t>
            </w:r>
          </w:p>
        </w:tc>
        <w:tc>
          <w:tcPr>
            <w:tcW w:type="dxa" w:w="2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GOVERN 2.2: Accountability structures and responsibilities established</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OG-23 (scope justification) and AO-52 (explicit trust tiers with human assignment) establish clear accountability for every agent capability and deployment decision.</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AAC-AO-49 + TS-14 + OG-24</w:t>
            </w:r>
          </w:p>
        </w:tc>
        <w:tc>
          <w:tcPr>
            <w:tcW w:type="dxa" w:w="800"/>
            <w:tcBorders>
              <w:top w:val="single" w:color="CCCCCC" w:sz="1"/>
              <w:left w:val="single" w:color="CCCCCC" w:sz="1"/>
              <w:bottom w:val="single" w:color="CCCCCC" w:sz="1"/>
              <w:right w:val="single" w:color="CCCCCC" w:sz="1"/>
            </w:tcBorders>
            <w:shd w:fill="D6E4F7"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GOVERN</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GOVERN 4.1: Policies for AI lifecycle management established</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AO-49 (earned autonomy), TS-14 (graduated trust), and OG-24 (governance as code) together address the full lifecycle from deployment to advancement to decommissioning.</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AAC-DNH-0 to 0h</w:t>
            </w:r>
          </w:p>
        </w:tc>
        <w:tc>
          <w:tcPr>
            <w:tcW w:type="dxa" w:w="800"/>
            <w:tcBorders>
              <w:top w:val="single" w:color="CCCCCC" w:sz="1"/>
              <w:left w:val="single" w:color="CCCCCC" w:sz="1"/>
              <w:bottom w:val="single" w:color="CCCCCC" w:sz="1"/>
              <w:right w:val="single" w:color="CCCCCC" w:sz="1"/>
            </w:tcBorders>
            <w:shd w:fill="D6E4F7"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GOVERN</w:t>
            </w:r>
          </w:p>
        </w:tc>
        <w:tc>
          <w:tcPr>
            <w:tcW w:type="dxa" w:w="2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GOVERN 6.1: Policies to address AI risks to individuals and society</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The DNH directive set is the AAC's direct implementation of GOVERN 6.1. Each DNH directive addresses a specific category of societal or individual harm.</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AAC-DA-59 + DNH-0 to 0h</w:t>
            </w:r>
          </w:p>
        </w:tc>
        <w:tc>
          <w:tcPr>
            <w:tcW w:type="dxa" w:w="800"/>
            <w:tcBorders>
              <w:top w:val="single" w:color="CCCCCC" w:sz="1"/>
              <w:left w:val="single" w:color="CCCCCC" w:sz="1"/>
              <w:bottom w:val="single" w:color="CCCCCC" w:sz="1"/>
              <w:right w:val="single" w:color="CCCCCC" w:sz="1"/>
            </w:tcBorders>
            <w:shd w:fill="D6E4F7" w:val="clear"/>
            <w:tcMar>
              <w:top w:type="dxa" w:w="60"/>
              <w:left w:type="dxa" w:w="100"/>
              <w:bottom w:type="dxa" w:w="60"/>
              <w:right w:type="dxa" w:w="100"/>
            </w:tcMar>
          </w:tcPr>
          <w:p>
            <w:pPr>
              <w:spacing w:after="80" w:before="0"/>
              <w:jc w:val="left"/>
            </w:pPr>
            <w:r>
              <w:rPr>
                <w:rFonts w:ascii="Arial" w:cs="Arial" w:eastAsia="Arial" w:hAnsi="Arial"/>
                <w:b/>
                <w:bCs/>
                <w:color w:val="2E5FA3"/>
                <w:sz w:val="17"/>
                <w:szCs w:val="17"/>
              </w:rPr>
              <w:t xml:space="preserve">MAP</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MAP 1.1: Context established — intended purpose, risks, impacts</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DA-59 (harm classification) requires deploying systems to define their harm taxonomy before deployment. DNH directives define the harm categories to map against.</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AAC-TS-16 + DP-07</w:t>
            </w:r>
          </w:p>
        </w:tc>
        <w:tc>
          <w:tcPr>
            <w:tcW w:type="dxa" w:w="800"/>
            <w:tcBorders>
              <w:top w:val="single" w:color="CCCCCC" w:sz="1"/>
              <w:left w:val="single" w:color="CCCCCC" w:sz="1"/>
              <w:bottom w:val="single" w:color="CCCCCC" w:sz="1"/>
              <w:right w:val="single" w:color="CCCCCC" w:sz="1"/>
            </w:tcBorders>
            <w:shd w:fill="D6E4F7" w:val="clear"/>
            <w:tcMar>
              <w:top w:type="dxa" w:w="60"/>
              <w:left w:type="dxa" w:w="100"/>
              <w:bottom w:type="dxa" w:w="60"/>
              <w:right w:type="dxa" w:w="100"/>
            </w:tcMar>
          </w:tcPr>
          <w:p>
            <w:pPr>
              <w:spacing w:after="80" w:before="0"/>
              <w:jc w:val="left"/>
            </w:pPr>
            <w:r>
              <w:rPr>
                <w:rFonts w:ascii="Arial" w:cs="Arial" w:eastAsia="Arial" w:hAnsi="Arial"/>
                <w:b/>
                <w:bCs/>
                <w:color w:val="2E5FA3"/>
                <w:sz w:val="17"/>
                <w:szCs w:val="17"/>
              </w:rPr>
              <w:t xml:space="preserve">MAP</w:t>
            </w:r>
          </w:p>
        </w:tc>
        <w:tc>
          <w:tcPr>
            <w:tcW w:type="dxa" w:w="2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MAP 1.5: Organizational risk tolerances established</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DP-07 (audit everything) and TS-16 (evidence before adjudication) support risk documentation. Risk tolerance declaration is largely delegated to implementation profiles in AAC.</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AAC-DNH-0e + AI-13 + AI-10</w:t>
            </w:r>
          </w:p>
        </w:tc>
        <w:tc>
          <w:tcPr>
            <w:tcW w:type="dxa" w:w="800"/>
            <w:tcBorders>
              <w:top w:val="single" w:color="CCCCCC" w:sz="1"/>
              <w:left w:val="single" w:color="CCCCCC" w:sz="1"/>
              <w:bottom w:val="single" w:color="CCCCCC" w:sz="1"/>
              <w:right w:val="single" w:color="CCCCCC" w:sz="1"/>
            </w:tcBorders>
            <w:shd w:fill="D6E4F7" w:val="clear"/>
            <w:tcMar>
              <w:top w:type="dxa" w:w="60"/>
              <w:left w:type="dxa" w:w="100"/>
              <w:bottom w:type="dxa" w:w="60"/>
              <w:right w:type="dxa" w:w="100"/>
            </w:tcMar>
          </w:tcPr>
          <w:p>
            <w:pPr>
              <w:spacing w:after="80" w:before="0"/>
              <w:jc w:val="left"/>
            </w:pPr>
            <w:r>
              <w:rPr>
                <w:rFonts w:ascii="Arial" w:cs="Arial" w:eastAsia="Arial" w:hAnsi="Arial"/>
                <w:b/>
                <w:bCs/>
                <w:color w:val="2E5FA3"/>
                <w:sz w:val="17"/>
                <w:szCs w:val="17"/>
              </w:rPr>
              <w:t xml:space="preserve">MAP</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MAP 2.3: Scientific findings and AI limitations understood</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DNH-0e (algorithmic harm) requires understanding bias and fairness limitations. AI-13 (trust calibration) and AI-10 (confidence thresholds) operationalize uncertainty communication.</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AAC-AO-54 + TS-13 + ZT-64</w:t>
            </w:r>
          </w:p>
        </w:tc>
        <w:tc>
          <w:tcPr>
            <w:tcW w:type="dxa" w:w="800"/>
            <w:tcBorders>
              <w:top w:val="single" w:color="CCCCCC" w:sz="1"/>
              <w:left w:val="single" w:color="CCCCCC" w:sz="1"/>
              <w:bottom w:val="single" w:color="CCCCCC" w:sz="1"/>
              <w:right w:val="single" w:color="CCCCCC" w:sz="1"/>
            </w:tcBorders>
            <w:shd w:fill="D6E4F7" w:val="clear"/>
            <w:tcMar>
              <w:top w:type="dxa" w:w="60"/>
              <w:left w:type="dxa" w:w="100"/>
              <w:bottom w:type="dxa" w:w="60"/>
              <w:right w:type="dxa" w:w="100"/>
            </w:tcMar>
          </w:tcPr>
          <w:p>
            <w:pPr>
              <w:spacing w:after="80" w:before="0"/>
              <w:jc w:val="left"/>
            </w:pPr>
            <w:r>
              <w:rPr>
                <w:rFonts w:ascii="Arial" w:cs="Arial" w:eastAsia="Arial" w:hAnsi="Arial"/>
                <w:b/>
                <w:bCs/>
                <w:color w:val="2E5FA3"/>
                <w:sz w:val="17"/>
                <w:szCs w:val="17"/>
              </w:rPr>
              <w:t xml:space="preserve">MAP</w:t>
            </w:r>
          </w:p>
        </w:tc>
        <w:tc>
          <w:tcPr>
            <w:tcW w:type="dxa" w:w="2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MAP 3.5: Inter-organizational AI dependencies identified</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TS-13 (trust provenance), AO-54 (cross-agent isolation), and ZT-64 (no implicit trust) address the multi-party trust dependency mapping NIST requires.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AAC-DNH-0f + DNH-0g + DNH-0e</w:t>
            </w:r>
          </w:p>
        </w:tc>
        <w:tc>
          <w:tcPr>
            <w:tcW w:type="dxa" w:w="800"/>
            <w:tcBorders>
              <w:top w:val="single" w:color="CCCCCC" w:sz="1"/>
              <w:left w:val="single" w:color="CCCCCC" w:sz="1"/>
              <w:bottom w:val="single" w:color="CCCCCC" w:sz="1"/>
              <w:right w:val="single" w:color="CCCCCC" w:sz="1"/>
            </w:tcBorders>
            <w:shd w:fill="D6E4F7" w:val="clear"/>
            <w:tcMar>
              <w:top w:type="dxa" w:w="60"/>
              <w:left w:type="dxa" w:w="100"/>
              <w:bottom w:type="dxa" w:w="60"/>
              <w:right w:type="dxa" w:w="100"/>
            </w:tcMar>
          </w:tcPr>
          <w:p>
            <w:pPr>
              <w:spacing w:after="80" w:before="0"/>
              <w:jc w:val="left"/>
            </w:pPr>
            <w:r>
              <w:rPr>
                <w:rFonts w:ascii="Arial" w:cs="Arial" w:eastAsia="Arial" w:hAnsi="Arial"/>
                <w:b/>
                <w:bCs/>
                <w:color w:val="2E5FA3"/>
                <w:sz w:val="17"/>
                <w:szCs w:val="17"/>
              </w:rPr>
              <w:t xml:space="preserve">MAP</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MAP 5.1: Likelihood and magnitude of AI impacts documented</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DNH-0e (algorithmic harm), DNH-0f (community harm), and DNH-0g (harm of inaction) require proactive impact identification. Directly satisfies MAP 5.1.</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AAC-DP-07 + DA-60</w:t>
            </w:r>
          </w:p>
        </w:tc>
        <w:tc>
          <w:tcPr>
            <w:tcW w:type="dxa" w:w="800"/>
            <w:tcBorders>
              <w:top w:val="single" w:color="CCCCCC" w:sz="1"/>
              <w:left w:val="single" w:color="CCCCCC" w:sz="1"/>
              <w:bottom w:val="single" w:color="CCCCCC" w:sz="1"/>
              <w:right w:val="single" w:color="CCCCCC" w:sz="1"/>
            </w:tcBorders>
            <w:shd w:fill="D6F0EB" w:val="clear"/>
            <w:tcMar>
              <w:top w:type="dxa" w:w="60"/>
              <w:left w:type="dxa" w:w="100"/>
              <w:bottom w:type="dxa" w:w="60"/>
              <w:right w:type="dxa" w:w="100"/>
            </w:tcMar>
          </w:tcPr>
          <w:p>
            <w:pPr>
              <w:spacing w:after="80" w:before="0"/>
              <w:jc w:val="left"/>
            </w:pPr>
            <w:r>
              <w:rPr>
                <w:rFonts w:ascii="Arial" w:cs="Arial" w:eastAsia="Arial" w:hAnsi="Arial"/>
                <w:b/>
                <w:bCs/>
                <w:color w:val="1A6B5A"/>
                <w:sz w:val="17"/>
                <w:szCs w:val="17"/>
              </w:rPr>
              <w:t xml:space="preserve">MEASURE</w:t>
            </w:r>
          </w:p>
        </w:tc>
        <w:tc>
          <w:tcPr>
            <w:tcW w:type="dxa" w:w="2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MEASURE 1.1: AI risk measurement approaches identified</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DP-07 (decision logging with reasoning chain — consolidates former AI-11) and DA-60 (arbitration audit trail) provide the measurement infrastructure NIST requires.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AAC-TB-29 + AO-51 + AO-56</w:t>
            </w:r>
          </w:p>
        </w:tc>
        <w:tc>
          <w:tcPr>
            <w:tcW w:type="dxa" w:w="800"/>
            <w:tcBorders>
              <w:top w:val="single" w:color="CCCCCC" w:sz="1"/>
              <w:left w:val="single" w:color="CCCCCC" w:sz="1"/>
              <w:bottom w:val="single" w:color="CCCCCC" w:sz="1"/>
              <w:right w:val="single" w:color="CCCCCC" w:sz="1"/>
            </w:tcBorders>
            <w:shd w:fill="D6F0EB" w:val="clear"/>
            <w:tcMar>
              <w:top w:type="dxa" w:w="60"/>
              <w:left w:type="dxa" w:w="100"/>
              <w:bottom w:type="dxa" w:w="60"/>
              <w:right w:type="dxa" w:w="100"/>
            </w:tcMar>
          </w:tcPr>
          <w:p>
            <w:pPr>
              <w:spacing w:after="80" w:before="0"/>
              <w:jc w:val="left"/>
            </w:pPr>
            <w:r>
              <w:rPr>
                <w:rFonts w:ascii="Arial" w:cs="Arial" w:eastAsia="Arial" w:hAnsi="Arial"/>
                <w:b/>
                <w:bCs/>
                <w:color w:val="1A6B5A"/>
                <w:sz w:val="17"/>
                <w:szCs w:val="17"/>
              </w:rPr>
              <w:t xml:space="preserve">MEASURE</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MEASURE 2.1: TEVV practices applied throughout AI lifecycle</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TB-29 (regression guardrails), AO-51 (continuous self-monitoring), and AO-56 (governed feedback loop) directly implement TEVV requirements. Strong alignment.</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AAC-DNH-0e + AI-13</w:t>
            </w:r>
          </w:p>
        </w:tc>
        <w:tc>
          <w:tcPr>
            <w:tcW w:type="dxa" w:w="800"/>
            <w:tcBorders>
              <w:top w:val="single" w:color="CCCCCC" w:sz="1"/>
              <w:left w:val="single" w:color="CCCCCC" w:sz="1"/>
              <w:bottom w:val="single" w:color="CCCCCC" w:sz="1"/>
              <w:right w:val="single" w:color="CCCCCC" w:sz="1"/>
            </w:tcBorders>
            <w:shd w:fill="D6F0EB" w:val="clear"/>
            <w:tcMar>
              <w:top w:type="dxa" w:w="60"/>
              <w:left w:type="dxa" w:w="100"/>
              <w:bottom w:type="dxa" w:w="60"/>
              <w:right w:type="dxa" w:w="100"/>
            </w:tcMar>
          </w:tcPr>
          <w:p>
            <w:pPr>
              <w:spacing w:after="80" w:before="0"/>
              <w:jc w:val="left"/>
            </w:pPr>
            <w:r>
              <w:rPr>
                <w:rFonts w:ascii="Arial" w:cs="Arial" w:eastAsia="Arial" w:hAnsi="Arial"/>
                <w:b/>
                <w:bCs/>
                <w:color w:val="1A6B5A"/>
                <w:sz w:val="17"/>
                <w:szCs w:val="17"/>
              </w:rPr>
              <w:t xml:space="preserve">MEASURE</w:t>
            </w:r>
          </w:p>
        </w:tc>
        <w:tc>
          <w:tcPr>
            <w:tcW w:type="dxa" w:w="2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MEASURE 2.5: Fairness and bias evaluated</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DNH-0e (algorithmic harm) requires fairness audits as part of regression testing. AI-13 (trust calibration) addresses confidence accuracy. NIST MEASURE 2.5 is well-covered.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AAC-AI-10 + AO-51 + OG-25</w:t>
            </w:r>
          </w:p>
        </w:tc>
        <w:tc>
          <w:tcPr>
            <w:tcW w:type="dxa" w:w="800"/>
            <w:tcBorders>
              <w:top w:val="single" w:color="CCCCCC" w:sz="1"/>
              <w:left w:val="single" w:color="CCCCCC" w:sz="1"/>
              <w:bottom w:val="single" w:color="CCCCCC" w:sz="1"/>
              <w:right w:val="single" w:color="CCCCCC" w:sz="1"/>
            </w:tcBorders>
            <w:shd w:fill="D6F0EB" w:val="clear"/>
            <w:tcMar>
              <w:top w:type="dxa" w:w="60"/>
              <w:left w:type="dxa" w:w="100"/>
              <w:bottom w:type="dxa" w:w="60"/>
              <w:right w:type="dxa" w:w="100"/>
            </w:tcMar>
          </w:tcPr>
          <w:p>
            <w:pPr>
              <w:spacing w:after="80" w:before="0"/>
              <w:jc w:val="left"/>
            </w:pPr>
            <w:r>
              <w:rPr>
                <w:rFonts w:ascii="Arial" w:cs="Arial" w:eastAsia="Arial" w:hAnsi="Arial"/>
                <w:b/>
                <w:bCs/>
                <w:color w:val="1A6B5A"/>
                <w:sz w:val="17"/>
                <w:szCs w:val="17"/>
              </w:rPr>
              <w:t xml:space="preserve">MEASURE</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MEASURE 2.6: AI system performance monitored</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AI-10 (confidence thresholds), AO-51 (self-monitoring KPIs), and OG-25 (policy enforcement integrity) together provide comprehensive performance monitoring. Strong alignment.</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AAC-DP-07 + DA-60</w:t>
            </w:r>
          </w:p>
        </w:tc>
        <w:tc>
          <w:tcPr>
            <w:tcW w:type="dxa" w:w="800"/>
            <w:tcBorders>
              <w:top w:val="single" w:color="CCCCCC" w:sz="1"/>
              <w:left w:val="single" w:color="CCCCCC" w:sz="1"/>
              <w:bottom w:val="single" w:color="CCCCCC" w:sz="1"/>
              <w:right w:val="single" w:color="CCCCCC" w:sz="1"/>
            </w:tcBorders>
            <w:shd w:fill="D6F0EB" w:val="clear"/>
            <w:tcMar>
              <w:top w:type="dxa" w:w="60"/>
              <w:left w:type="dxa" w:w="100"/>
              <w:bottom w:type="dxa" w:w="60"/>
              <w:right w:type="dxa" w:w="100"/>
            </w:tcMar>
          </w:tcPr>
          <w:p>
            <w:pPr>
              <w:spacing w:after="80" w:before="0"/>
              <w:jc w:val="left"/>
            </w:pPr>
            <w:r>
              <w:rPr>
                <w:rFonts w:ascii="Arial" w:cs="Arial" w:eastAsia="Arial" w:hAnsi="Arial"/>
                <w:b/>
                <w:bCs/>
                <w:color w:val="1A6B5A"/>
                <w:sz w:val="17"/>
                <w:szCs w:val="17"/>
              </w:rPr>
              <w:t xml:space="preserve">MEASURE</w:t>
            </w:r>
          </w:p>
        </w:tc>
        <w:tc>
          <w:tcPr>
            <w:tcW w:type="dxa" w:w="2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MEASURE 2.9: Explainability and interpretability assessed</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DP-07 (decision log captures reasoning chain, inputs considered, confidence, and arbitration path — not just outcomes) and DA-60 (arbitration audit trail) are explicitly designed to support explainability. Directly satisfies MEASURE 2.9.</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AAC-AO-51 + TB-29</w:t>
            </w:r>
          </w:p>
        </w:tc>
        <w:tc>
          <w:tcPr>
            <w:tcW w:type="dxa" w:w="800"/>
            <w:tcBorders>
              <w:top w:val="single" w:color="CCCCCC" w:sz="1"/>
              <w:left w:val="single" w:color="CCCCCC" w:sz="1"/>
              <w:bottom w:val="single" w:color="CCCCCC" w:sz="1"/>
              <w:right w:val="single" w:color="CCCCCC" w:sz="1"/>
            </w:tcBorders>
            <w:shd w:fill="D6F0EB" w:val="clear"/>
            <w:tcMar>
              <w:top w:type="dxa" w:w="60"/>
              <w:left w:type="dxa" w:w="100"/>
              <w:bottom w:type="dxa" w:w="60"/>
              <w:right w:type="dxa" w:w="100"/>
            </w:tcMar>
          </w:tcPr>
          <w:p>
            <w:pPr>
              <w:spacing w:after="80" w:before="0"/>
              <w:jc w:val="left"/>
            </w:pPr>
            <w:r>
              <w:rPr>
                <w:rFonts w:ascii="Arial" w:cs="Arial" w:eastAsia="Arial" w:hAnsi="Arial"/>
                <w:b/>
                <w:bCs/>
                <w:color w:val="1A6B5A"/>
                <w:sz w:val="17"/>
                <w:szCs w:val="17"/>
              </w:rPr>
              <w:t xml:space="preserve">MEASURE</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MEASURE 2.11: Fairness and bias tested before deployment</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TB-29 (regression guardrails) requires accuracy benchmarks. AO-51 includes fairness metrics in KPIs. NIST expects more structured pre-deployment fairness testing — profile-level gap.</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AAC-TB-28 + OG-25 + DP-07</w:t>
            </w:r>
          </w:p>
        </w:tc>
        <w:tc>
          <w:tcPr>
            <w:tcW w:type="dxa" w:w="800"/>
            <w:tcBorders>
              <w:top w:val="single" w:color="CCCCCC" w:sz="1"/>
              <w:left w:val="single" w:color="CCCCCC" w:sz="1"/>
              <w:bottom w:val="single" w:color="CCCCCC" w:sz="1"/>
              <w:right w:val="single" w:color="CCCCCC" w:sz="1"/>
            </w:tcBorders>
            <w:shd w:fill="D6F0EB" w:val="clear"/>
            <w:tcMar>
              <w:top w:type="dxa" w:w="60"/>
              <w:left w:type="dxa" w:w="100"/>
              <w:bottom w:type="dxa" w:w="60"/>
              <w:right w:type="dxa" w:w="100"/>
            </w:tcMar>
          </w:tcPr>
          <w:p>
            <w:pPr>
              <w:spacing w:after="80" w:before="0"/>
              <w:jc w:val="left"/>
            </w:pPr>
            <w:r>
              <w:rPr>
                <w:rFonts w:ascii="Arial" w:cs="Arial" w:eastAsia="Arial" w:hAnsi="Arial"/>
                <w:b/>
                <w:bCs/>
                <w:color w:val="1A6B5A"/>
                <w:sz w:val="17"/>
                <w:szCs w:val="17"/>
              </w:rPr>
              <w:t xml:space="preserve">MEASURE</w:t>
            </w:r>
          </w:p>
        </w:tc>
        <w:tc>
          <w:tcPr>
            <w:tcW w:type="dxa" w:w="2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MEASURE 2.13: Environmental impact and operational risks monitored</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Partial</w:t>
            </w:r>
          </w:p>
        </w:tc>
        <w:tc>
          <w:tcPr>
            <w:tcW w:type="dxa" w:w="3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TB-28 (production observability) and OG-25 (policy enforcement) cover operational risk monitoring. Environmental impact monitoring has no direct AAC control.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AAC-AI-12 + AO-55 + RS-39</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MANAGE</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MANAGE 1.1: Responses to identified risks prioritized</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AI-12 (human override), AO-55 (escalation hierarchy), and RS-39 (system safe mode) constitute the risk response infrastructure. Direct alignment with MANAGE 1.1.</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AAC-AO-53 + RS-39 + OG-25</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MANAGE</w:t>
            </w:r>
          </w:p>
        </w:tc>
        <w:tc>
          <w:tcPr>
            <w:tcW w:type="dxa" w:w="2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MANAGE 2.2: Mechanisms for AI risk treatment implemented</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AO-53 (dynamic trust adjustment), RS-39 (system safe mode), and OG-25 (policy enforcement integrity) are the primary risk treatment mechanisms. Strong alignment.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AAC-OG-24 + AO-56 + TB-29</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MANAGE</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MANAGE 2.4: AI system maintained and updated post-deployment</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OG-24 (governance as code), AO-56 (governed feedback loop), and TB-29 (regression guardrails) together constitute the post-deployment maintenance framework.</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AAC-DP-07 + AO-51 + OG-25</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MANAGE</w:t>
            </w:r>
          </w:p>
        </w:tc>
        <w:tc>
          <w:tcPr>
            <w:tcW w:type="dxa" w:w="2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MANAGE 3.1: Risk management processes for acquired AI tracked</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DP-07 (audit trail), AO-51 (continuous monitoring), and OG-25 (policy enforcement) provide the tracking and monitoring infrastructure for ongoing risk management.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AAC-AO-56 + TB-29 + OG-25</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MANAGE</w:t>
            </w:r>
          </w:p>
        </w:tc>
        <w:tc>
          <w:tcPr>
            <w:tcW w:type="dxa" w:w="2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MANAGE 4.1: Post-deployment monitoring, decommissioning, change management</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AO-56 (feedback loop), TB-29 (regression validation), and OG-25 (runtime policy validation) address the full post-deployment lifecycle NIST MANAGE 4.1 requires.</w:t>
            </w:r>
          </w:p>
        </w:tc>
      </w:tr>
      <w:tr>
        <w:tc>
          <w:tcPr>
            <w:tcW w:type="dxa" w:w="1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AAC-DNH-0 + TS-17 + AI-12</w:t>
            </w:r>
          </w:p>
        </w:tc>
        <w:tc>
          <w:tcPr>
            <w:tcW w:type="dxa" w:w="800"/>
            <w:tcBorders>
              <w:top w:val="single" w:color="CCCCCC" w:sz="1"/>
              <w:left w:val="single" w:color="CCCCCC" w:sz="1"/>
              <w:bottom w:val="single" w:color="CCCCCC" w:sz="1"/>
              <w:right w:val="single" w:color="CCCCCC" w:sz="1"/>
            </w:tcBorders>
            <w:shd w:fill="F7EDD6" w:val="clear"/>
            <w:tcMar>
              <w:top w:type="dxa" w:w="60"/>
              <w:left w:type="dxa" w:w="100"/>
              <w:bottom w:type="dxa" w:w="60"/>
              <w:right w:type="dxa" w:w="100"/>
            </w:tcMar>
          </w:tcPr>
          <w:p>
            <w:pPr>
              <w:spacing w:after="80" w:before="0"/>
              <w:jc w:val="left"/>
            </w:pPr>
            <w:r>
              <w:rPr>
                <w:rFonts w:ascii="Arial" w:cs="Arial" w:eastAsia="Arial" w:hAnsi="Arial"/>
                <w:b/>
                <w:bCs/>
                <w:color w:val="6B4A1A"/>
                <w:sz w:val="17"/>
                <w:szCs w:val="17"/>
              </w:rPr>
              <w:t xml:space="preserve">MANAGE</w:t>
            </w:r>
          </w:p>
        </w:tc>
        <w:tc>
          <w:tcPr>
            <w:tcW w:type="dxa" w:w="2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MANAGE 4.2: Mechanisms for users to appeal AI decisions</w:t>
            </w:r>
          </w:p>
        </w:tc>
        <w:tc>
          <w:tcPr>
            <w:tcW w:type="dxa" w:w="800"/>
            <w:tcBorders>
              <w:top w:val="single" w:color="CCCCCC" w:sz="1"/>
              <w:left w:val="single" w:color="CCCCCC" w:sz="1"/>
              <w:bottom w:val="single" w:color="CCCCCC" w:sz="1"/>
              <w:right w:val="single" w:color="CCCCCC" w:sz="1"/>
            </w:tcBorders>
            <w:shd w:fill="D6F0D6" w:val="clear"/>
            <w:tcMar>
              <w:top w:type="dxa" w:w="60"/>
              <w:left w:type="dxa" w:w="100"/>
              <w:bottom w:type="dxa" w:w="60"/>
              <w:right w:type="dxa" w:w="100"/>
            </w:tcMar>
          </w:tcPr>
          <w:p>
            <w:pPr>
              <w:spacing w:after="80" w:before="0"/>
              <w:jc w:val="left"/>
            </w:pPr>
            <w:r>
              <w:rPr>
                <w:rFonts w:ascii="Arial" w:cs="Arial" w:eastAsia="Arial" w:hAnsi="Arial"/>
                <w:b/>
                <w:bCs/>
                <w:color w:val="1A5A1A"/>
                <w:sz w:val="17"/>
                <w:szCs w:val="17"/>
              </w:rPr>
              <w:t xml:space="preserve">Full</w:t>
            </w:r>
          </w:p>
        </w:tc>
        <w:tc>
          <w:tcPr>
            <w:tcW w:type="dxa" w:w="3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4A4A4A"/>
                <w:sz w:val="17"/>
                <w:szCs w:val="17"/>
              </w:rPr>
              <w:t xml:space="preserve">DNH-0 (root harm prohibition), TS-17 (fail toward user), and AI-12 (human override) collectively establish the user recourse mechanisms NIST expects. Strong alignment.</w:t>
            </w:r>
          </w:p>
        </w:tc>
      </w:tr>
    </w:tbl>
    <w:p>
      <w:r>
        <w:br w:type="page"/>
      </w:r>
    </w:p>
    <w:p>
      <w:pPr>
        <w:pStyle w:val="Heading1"/>
        <w:pBdr>
          <w:bottom w:val="single" w:color="1B3A6B" w:sz="6" w:space="1"/>
        </w:pBdr>
        <w:spacing w:after="140" w:before="320"/>
      </w:pPr>
      <w:r>
        <w:rPr>
          <w:rFonts w:ascii="Arial" w:cs="Arial" w:eastAsia="Arial" w:hAnsi="Arial"/>
          <w:b/>
          <w:bCs/>
          <w:color w:val="1B3A6B"/>
          <w:sz w:val="30"/>
          <w:szCs w:val="30"/>
        </w:rPr>
        <w:t xml:space="preserve">Section 4 — Gap Analysis &amp; Strategic Notes</w:t>
      </w:r>
    </w:p>
    <w:p>
      <w:pPr>
        <w:spacing w:after="140" w:before="0"/>
        <w:jc w:val="left"/>
      </w:pPr>
      <w:r>
        <w:rPr>
          <w:rFonts w:ascii="Arial" w:cs="Arial" w:eastAsia="Arial" w:hAnsi="Arial"/>
          <w:color w:val="000000"/>
          <w:sz w:val="20"/>
          <w:szCs w:val="20"/>
        </w:rPr>
        <w:t xml:space="preserve">This section summarizes the controls in each external framework that are not fully addressed by the AAC, and provides strategic guidance on how to close those gaps through implementation profiles or future framework versions.</w:t>
      </w:r>
    </w:p>
    <w:p>
      <w:pPr>
        <w:pStyle w:val="Heading2"/>
        <w:spacing w:after="100" w:before="240"/>
      </w:pPr>
      <w:r>
        <w:rPr>
          <w:rFonts w:ascii="Arial" w:cs="Arial" w:eastAsia="Arial" w:hAnsi="Arial"/>
          <w:b/>
          <w:bCs/>
          <w:color w:val="2E5FA3"/>
          <w:sz w:val="24"/>
          <w:szCs w:val="24"/>
        </w:rPr>
        <w:t xml:space="preserve">4.1 — Gaps: CSA ATF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4160"/>
        <w:gridCol w:w="2800"/>
      </w:tblGrid>
      <w:tr>
        <w:tc>
          <w:tcPr>
            <w:tcW w:type="dxa" w:w="24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ATF Gap Area</w:t>
            </w:r>
          </w:p>
        </w:tc>
        <w:tc>
          <w:tcPr>
            <w:tcW w:type="dxa" w:w="416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Description</w:t>
            </w:r>
          </w:p>
        </w:tc>
        <w:tc>
          <w:tcPr>
            <w:tcW w:type="dxa" w:w="28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Closure Path</w:t>
            </w:r>
          </w:p>
        </w:tc>
      </w:tr>
      <w:tr>
        <w:tc>
          <w:tcPr>
            <w:tcW w:type="dxa" w:w="2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Infrastructure as Code (AE-05 type)</w:t>
            </w:r>
          </w:p>
        </w:tc>
        <w:tc>
          <w:tcPr>
            <w:tcW w:type="dxa" w:w="41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assumes infrastructure exists and focuses on agent governance. It has no equivalent for IaC requirements.</w:t>
            </w:r>
          </w:p>
        </w:tc>
        <w:tc>
          <w:tcPr>
            <w:tcW w:type="dxa" w:w="2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AE-05 fills this gap. No ATF conflict.</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Testability Requirements (TB domain)</w:t>
            </w:r>
          </w:p>
        </w:tc>
        <w:tc>
          <w:tcPr>
            <w:tcW w:type="dxa" w:w="4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has no governance requirements for testability, mock boundaries, or pre-deployment validation.</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TB domain fills this gap. Complementary to ATF.</w:t>
            </w:r>
          </w:p>
        </w:tc>
      </w:tr>
      <w:tr>
        <w:tc>
          <w:tcPr>
            <w:tcW w:type="dxa" w:w="2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API Design Standards (AP domain)</w:t>
            </w:r>
          </w:p>
        </w:tc>
        <w:tc>
          <w:tcPr>
            <w:tcW w:type="dxa" w:w="41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does not address API design patterns, versioning, or contract-before-implementation.</w:t>
            </w:r>
          </w:p>
        </w:tc>
        <w:tc>
          <w:tcPr>
            <w:tcW w:type="dxa" w:w="2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AP domain fills this gap. Complementary to ATF.</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Harm Classification Taxonomy</w:t>
            </w:r>
          </w:p>
        </w:tc>
        <w:tc>
          <w:tcPr>
            <w:tcW w:type="dxa" w:w="4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ATF's IR covers incident response but has no structured harm tier model for tradeoff resolution.</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DA-59 fills this gap. Novel AAC contribution.</w:t>
            </w:r>
          </w:p>
        </w:tc>
      </w:tr>
      <w:tr>
        <w:tc>
          <w:tcPr>
            <w:tcW w:type="dxa" w:w="2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Liveness Guarantee</w:t>
            </w:r>
          </w:p>
        </w:tc>
        <w:tc>
          <w:tcPr>
            <w:tcW w:type="dxa" w:w="41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does not address the safety requirement that every decision must resolve.</w:t>
            </w:r>
          </w:p>
        </w:tc>
        <w:tc>
          <w:tcPr>
            <w:tcW w:type="dxa" w:w="2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DA-61 fills this gap. Novel AAC contribution.</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User-Favorable Error Resolution</w:t>
            </w:r>
          </w:p>
        </w:tc>
        <w:tc>
          <w:tcPr>
            <w:tcW w:type="dxa" w:w="4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ATF focuses on agent security; user fairness in system errors is not addressed.</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TS-17 fills this gap. Complementary to ATF.</w:t>
            </w:r>
          </w:p>
        </w:tc>
      </w:tr>
    </w:tbl>
    <w:p>
      <w:pPr>
        <w:spacing w:after="140" w:before="0"/>
        <w:jc w:val="left"/>
      </w:pPr>
      <w:r>
        <w:rPr>
          <w:rFonts w:ascii="Arial" w:cs="Arial" w:eastAsia="Arial" w:hAnsi="Arial"/>
          <w:color w:val="000000"/>
          <w:sz w:val="20"/>
          <w:szCs w:val="20"/>
        </w:rPr>
        <w:t xml:space="preserve"/>
      </w:r>
    </w:p>
    <w:p>
      <w:pPr>
        <w:pStyle w:val="Heading2"/>
        <w:spacing w:after="100" w:before="240"/>
      </w:pPr>
      <w:r>
        <w:rPr>
          <w:rFonts w:ascii="Arial" w:cs="Arial" w:eastAsia="Arial" w:hAnsi="Arial"/>
          <w:b/>
          <w:bCs/>
          <w:color w:val="2E5FA3"/>
          <w:sz w:val="24"/>
          <w:szCs w:val="24"/>
        </w:rPr>
        <w:t xml:space="preserve">4.2 — Gaps: OWASP Agentic Top 10</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4560"/>
        <w:gridCol w:w="2800"/>
      </w:tblGrid>
      <w:tr>
        <w:tc>
          <w:tcPr>
            <w:tcW w:type="dxa" w:w="20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OWASP Risk</w:t>
            </w:r>
          </w:p>
        </w:tc>
        <w:tc>
          <w:tcPr>
            <w:tcW w:type="dxa" w:w="456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Gap Description</w:t>
            </w:r>
          </w:p>
        </w:tc>
        <w:tc>
          <w:tcPr>
            <w:tcW w:type="dxa" w:w="28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Closure Path</w:t>
            </w:r>
          </w:p>
        </w:tc>
      </w:tr>
      <w:tr>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ASI04: Supply Chain (Partial)</w:t>
            </w:r>
          </w:p>
        </w:tc>
        <w:tc>
          <w:tcPr>
            <w:tcW w:type="dxa" w:w="45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Dynamic runtime component integrity — verifying MCP server identity, tool descriptors, and agent personas at runtime — is not explicitly addressed. ZT-71 covers input validation but not runtime component provenance verification.</w:t>
            </w:r>
          </w:p>
        </w:tc>
        <w:tc>
          <w:tcPr>
            <w:tcW w:type="dxa" w:w="2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Future AAC control: Dynamic Supply Chain Integrity. Could extend ZT-71 or create new ZT-76 in a future version.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ASI06: Memory Poisoning (Partial)</w:t>
            </w:r>
          </w:p>
        </w:tc>
        <w:tc>
          <w:tcPr>
            <w:tcW w:type="dxa" w:w="45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Long-term memory integrity validation — ensuring that stored agent memory has not been poisoned over time — has no dedicated AAC control. AO-56's adversarial monitoring is directionally aligned but not specific.</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Implementation profile can require memory integrity checks. Future framework version may warrant a dedicated control.</w:t>
            </w:r>
          </w:p>
        </w:tc>
      </w:tr>
    </w:tbl>
    <w:p>
      <w:pPr>
        <w:spacing w:after="140" w:before="0"/>
        <w:jc w:val="left"/>
      </w:pPr>
      <w:r>
        <w:rPr>
          <w:rFonts w:ascii="Arial" w:cs="Arial" w:eastAsia="Arial" w:hAnsi="Arial"/>
          <w:color w:val="000000"/>
          <w:sz w:val="20"/>
          <w:szCs w:val="20"/>
        </w:rPr>
        <w:t xml:space="preserve"/>
      </w:r>
    </w:p>
    <w:p>
      <w:pPr>
        <w:pStyle w:val="Heading2"/>
        <w:spacing w:after="100" w:before="240"/>
      </w:pPr>
      <w:r>
        <w:rPr>
          <w:rFonts w:ascii="Arial" w:cs="Arial" w:eastAsia="Arial" w:hAnsi="Arial"/>
          <w:b/>
          <w:bCs/>
          <w:color w:val="2E5FA3"/>
          <w:sz w:val="24"/>
          <w:szCs w:val="24"/>
        </w:rPr>
        <w:t xml:space="preserve">4.3 — Gaps: NIST AI RMF</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4160"/>
        <w:gridCol w:w="2800"/>
      </w:tblGrid>
      <w:tr>
        <w:tc>
          <w:tcPr>
            <w:tcW w:type="dxa" w:w="24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NIST Subcategory</w:t>
            </w:r>
          </w:p>
        </w:tc>
        <w:tc>
          <w:tcPr>
            <w:tcW w:type="dxa" w:w="416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Gap Description</w:t>
            </w:r>
          </w:p>
        </w:tc>
        <w:tc>
          <w:tcPr>
            <w:tcW w:type="dxa" w:w="28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Closure Path</w:t>
            </w:r>
          </w:p>
        </w:tc>
      </w:tr>
      <w:tr>
        <w:tc>
          <w:tcPr>
            <w:tcW w:type="dxa" w:w="2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MEASURE 2.11: Pre-deployment fairness testing</w:t>
            </w:r>
          </w:p>
        </w:tc>
        <w:tc>
          <w:tcPr>
            <w:tcW w:type="dxa" w:w="41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AAC-DNH-0e requires fairness audits and TB-29 requires regression benchmarks. NIST expects structured pre-deployment fairness testing with defined metrics. AAC delegates this to implementation profiles rather than specifying it in the framework.</w:t>
            </w:r>
          </w:p>
        </w:tc>
        <w:tc>
          <w:tcPr>
            <w:tcW w:type="dxa" w:w="2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Implementation Profile Section 4 (Confidence Thresholds) and Section 8 (Acceptance Criteria) provide the structure. Deploying systems should define fairness metrics explicitly per NIST MEASURE 2.11 guidance.</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MEASURE 2.13: Environmental impact monitoring</w:t>
            </w:r>
          </w:p>
        </w:tc>
        <w:tc>
          <w:tcPr>
            <w:tcW w:type="dxa" w:w="4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AAC does not address environmental impact (energy consumption, carbon footprint) of agent deployments. AO-58 (resource constraint) partially addresses computational efficiency.</w:t>
            </w:r>
          </w:p>
        </w:tc>
        <w:tc>
          <w:tcPr>
            <w:tcW w:type="dxa" w:w="2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Out of current AAC scope. Organizations with environmental reporting obligations should supplement AAC with environmental monitoring controls.</w:t>
            </w:r>
          </w:p>
        </w:tc>
      </w:tr>
      <w:tr>
        <w:tc>
          <w:tcPr>
            <w:tcW w:type="dxa" w:w="24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MAP 1.5: Organizational risk tolerances</w:t>
            </w:r>
          </w:p>
        </w:tc>
        <w:tc>
          <w:tcPr>
            <w:tcW w:type="dxa" w:w="41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AAC requires harm tier classification (DA-59) but delegates risk tolerance declaration to implementation profiles. NIST expects organizations to establish and document risk tolerances explicitly.</w:t>
            </w:r>
          </w:p>
        </w:tc>
        <w:tc>
          <w:tcPr>
            <w:tcW w:type="dxa" w:w="2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color w:val="000000"/>
                <w:sz w:val="17"/>
                <w:szCs w:val="17"/>
              </w:rPr>
              <w:t xml:space="preserve">Implementation Profile Section 2 (Harm Classification) requires deploying systems to define risk tolerances. Directly addresses MAP 1.5 at the profile level.</w:t>
            </w:r>
          </w:p>
        </w:tc>
      </w:tr>
    </w:tbl>
    <w:p>
      <w:pPr>
        <w:spacing w:after="140" w:before="0"/>
        <w:jc w:val="left"/>
      </w:pPr>
      <w:r>
        <w:rPr>
          <w:rFonts w:ascii="Arial" w:cs="Arial" w:eastAsia="Arial" w:hAnsi="Arial"/>
          <w:color w:val="000000"/>
          <w:sz w:val="20"/>
          <w:szCs w:val="20"/>
        </w:rPr>
        <w:t xml:space="preserve"/>
      </w:r>
    </w:p>
    <w:p>
      <w:pPr>
        <w:pStyle w:val="Heading2"/>
        <w:spacing w:after="100" w:before="240"/>
      </w:pPr>
      <w:r>
        <w:rPr>
          <w:rFonts w:ascii="Arial" w:cs="Arial" w:eastAsia="Arial" w:hAnsi="Arial"/>
          <w:b/>
          <w:bCs/>
          <w:color w:val="2E5FA3"/>
          <w:sz w:val="24"/>
          <w:szCs w:val="24"/>
        </w:rPr>
        <w:t xml:space="preserve">4.4 — AAC Contributions Not Covered by External Frameworks</w:t>
      </w:r>
    </w:p>
    <w:p>
      <w:pPr>
        <w:spacing w:after="120" w:before="0"/>
        <w:jc w:val="left"/>
      </w:pPr>
      <w:r>
        <w:rPr>
          <w:rFonts w:ascii="Arial" w:cs="Arial" w:eastAsia="Arial" w:hAnsi="Arial"/>
          <w:color w:val="000000"/>
          <w:sz w:val="20"/>
          <w:szCs w:val="20"/>
        </w:rPr>
        <w:t xml:space="preserve">The following AAC principles represent novel contributions not found in any of the three external frameworks. These are areas where the AAC extends the current state of the field:</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7360"/>
      </w:tblGrid>
      <w:tr>
        <w:tc>
          <w:tcPr>
            <w:tcW w:type="dxa" w:w="200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AAC Control</w:t>
            </w:r>
          </w:p>
        </w:tc>
        <w:tc>
          <w:tcPr>
            <w:tcW w:type="dxa" w:w="7360"/>
            <w:tcBorders>
              <w:top w:val="single" w:color="1B3A6B" w:sz="1"/>
              <w:left w:val="single" w:color="1B3A6B" w:sz="1"/>
              <w:bottom w:val="single" w:color="1B3A6B" w:sz="1"/>
              <w:right w:val="single" w:color="1B3A6B" w:sz="1"/>
            </w:tcBorders>
            <w:shd w:fill="1B3A6B" w:val="clear"/>
            <w:tcMar>
              <w:top w:type="dxa" w:w="60"/>
              <w:left w:type="dxa" w:w="100"/>
              <w:bottom w:type="dxa" w:w="60"/>
              <w:right w:type="dxa" w:w="100"/>
            </w:tcMar>
          </w:tcPr>
          <w:p>
            <w:pPr>
              <w:spacing w:after="80" w:before="0"/>
              <w:jc w:val="left"/>
            </w:pPr>
            <w:r>
              <w:rPr>
                <w:rFonts w:ascii="Arial" w:cs="Arial" w:eastAsia="Arial" w:hAnsi="Arial"/>
                <w:b/>
                <w:bCs/>
                <w:color w:val="FFFFFF"/>
                <w:sz w:val="18"/>
                <w:szCs w:val="18"/>
              </w:rPr>
              <w:t xml:space="preserve">Novel Contribution</w:t>
            </w:r>
          </w:p>
        </w:tc>
      </w:tr>
      <w:tr>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AAC-DA-59</w:t>
            </w:r>
          </w:p>
        </w:tc>
        <w:tc>
          <w:tcPr>
            <w:tcW w:type="dxa" w:w="7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val="false"/>
                <w:bCs w:val="false"/>
                <w:color w:val="000000"/>
                <w:sz w:val="17"/>
                <w:szCs w:val="17"/>
              </w:rPr>
              <w:t xml:space="preserve">Structured three-tier harm classification taxonomy (friction / material / irreversible) with explicit tradeoff resolution rule. No equivalent in ATF, OWASP, or NIST AI RMF.</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AAC-DA-60</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val="false"/>
                <w:bCs w:val="false"/>
                <w:color w:val="000000"/>
                <w:sz w:val="17"/>
                <w:szCs w:val="17"/>
              </w:rPr>
              <w:t xml:space="preserve">Mandatory five-step sequential arbitration layer scoped to high-risk actions (v1.3). The scoping to high-risk actions (defined by deploying system's harm tier classification) resolves the latency bottleneck while preserving governance where it matters. No equivalent construct in external frameworks.</w:t>
            </w:r>
          </w:p>
        </w:tc>
      </w:tr>
      <w:tr>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AAC-DA-61</w:t>
            </w:r>
          </w:p>
        </w:tc>
        <w:tc>
          <w:tcPr>
            <w:tcW w:type="dxa" w:w="7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val="false"/>
                <w:bCs w:val="false"/>
                <w:color w:val="000000"/>
                <w:sz w:val="17"/>
                <w:szCs w:val="17"/>
              </w:rPr>
              <w:t xml:space="preserve">Liveness guarantee as a safety requirement — the principle that a system unable to make forward progress under its own safety constraints has a design defect. Novel framing not found in external frameworks.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AAC-DA-63</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val="false"/>
                <w:bCs w:val="false"/>
                <w:color w:val="000000"/>
                <w:sz w:val="17"/>
                <w:szCs w:val="17"/>
              </w:rPr>
              <w:t xml:space="preserve">Centralized enforcement boundary as a non-bypassable architectural requirement. ATF implies governance enforcement; AAC makes it a structural non-negotiable.</w:t>
            </w:r>
          </w:p>
        </w:tc>
      </w:tr>
      <w:tr>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AAC-OG-25</w:t>
            </w:r>
          </w:p>
        </w:tc>
        <w:tc>
          <w:tcPr>
            <w:tcW w:type="dxa" w:w="7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val="false"/>
                <w:bCs w:val="false"/>
                <w:color w:val="000000"/>
                <w:sz w:val="17"/>
                <w:szCs w:val="17"/>
              </w:rPr>
              <w:t xml:space="preserve">Policy enforcement integrity — runtime continuous validation of behavior against declared governance artifacts, with automatic response to divergence. Stronger and more specific than NIST GOVERN 1.4.</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AAC-RS-39</w:t>
            </w:r>
          </w:p>
        </w:tc>
        <w:tc>
          <w:tcPr>
            <w:tcW w:type="dxa" w:w="7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after="80" w:before="0"/>
              <w:jc w:val="left"/>
            </w:pPr>
            <w:r>
              <w:rPr>
                <w:rFonts w:ascii="Arial" w:cs="Arial" w:eastAsia="Arial" w:hAnsi="Arial"/>
                <w:b w:val="false"/>
                <w:bCs w:val="false"/>
                <w:color w:val="000000"/>
                <w:sz w:val="17"/>
                <w:szCs w:val="17"/>
              </w:rPr>
              <w:t xml:space="preserve">System Safe Mode as a named, structured operating mode with defined trigger conditions, disabled actions, and recovery criteria. No equivalent construct in external frameworks.</w:t>
            </w:r>
          </w:p>
        </w:tc>
      </w:tr>
      <w:tr>
        <w:tc>
          <w:tcPr>
            <w:tcW w:type="dxa" w:w="2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bCs/>
                <w:color w:val="1B3A6B"/>
                <w:sz w:val="17"/>
                <w:szCs w:val="17"/>
              </w:rPr>
              <w:t xml:space="preserve">AAC-DNH-0 suite</w:t>
            </w:r>
          </w:p>
        </w:tc>
        <w:tc>
          <w:tcPr>
            <w:tcW w:type="dxa" w:w="736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spacing w:after="80" w:before="0"/>
              <w:jc w:val="left"/>
            </w:pPr>
            <w:r>
              <w:rPr>
                <w:rFonts w:ascii="Arial" w:cs="Arial" w:eastAsia="Arial" w:hAnsi="Arial"/>
                <w:b w:val="false"/>
                <w:bCs w:val="false"/>
                <w:color w:val="000000"/>
                <w:sz w:val="17"/>
                <w:szCs w:val="17"/>
              </w:rPr>
              <w:t xml:space="preserve">The Do No Harm directive set as an absolute override constraint with eight specific harm categories. NIST addresses harm in MAP/GOVERN; OWASP addresses attack vectors; ATF addresses operational security. AAC is the only framework that makes harm prohibition a root architectural invariant.</w:t>
            </w:r>
          </w:p>
        </w:tc>
      </w:tr>
    </w:tbl>
    <w:p>
      <w:pPr>
        <w:spacing w:after="160" w:before="0"/>
        <w:jc w:val="left"/>
      </w:pPr>
      <w:r>
        <w:rPr>
          <w:rFonts w:ascii="Arial" w:cs="Arial" w:eastAsia="Arial" w:hAnsi="Arial"/>
          <w:color w:val="000000"/>
          <w:sz w:val="20"/>
          <w:szCs w:val="20"/>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40"/>
              <w:left w:type="dxa" w:w="180"/>
              <w:bottom w:type="dxa" w:w="140"/>
              <w:right w:type="dxa" w:w="180"/>
            </w:tcMar>
          </w:tcPr>
          <w:p>
            <w:pPr>
              <w:spacing w:after="80" w:before="0"/>
              <w:jc w:val="left"/>
            </w:pPr>
            <w:r>
              <w:rPr>
                <w:rFonts w:ascii="Arial" w:cs="Arial" w:eastAsia="Arial" w:hAnsi="Arial"/>
                <w:b/>
                <w:bCs/>
                <w:color w:val="1B3A6B"/>
                <w:sz w:val="20"/>
                <w:szCs w:val="20"/>
              </w:rPr>
              <w:t xml:space="preserve">Framework References</w:t>
            </w:r>
          </w:p>
          <w:p>
            <w:pPr>
              <w:spacing w:after="40" w:before="0"/>
              <w:jc w:val="left"/>
            </w:pPr>
            <w:r>
              <w:rPr>
                <w:rFonts w:ascii="Arial" w:cs="Arial" w:eastAsia="Arial" w:hAnsi="Arial"/>
                <w:color w:val="000000"/>
                <w:sz w:val="18"/>
                <w:szCs w:val="18"/>
              </w:rPr>
              <w:t xml:space="preserve">Autonomous Agentic Covenant v1.3: Thakuri, R. (2026). CC BY 4.0.</w:t>
            </w:r>
          </w:p>
          <w:p>
            <w:pPr>
              <w:spacing w:after="40" w:before="0"/>
              <w:jc w:val="left"/>
            </w:pPr>
            <w:r>
              <w:rPr>
                <w:rFonts w:ascii="Arial" w:cs="Arial" w:eastAsia="Arial" w:hAnsi="Arial"/>
                <w:color w:val="000000"/>
                <w:sz w:val="18"/>
                <w:szCs w:val="18"/>
              </w:rPr>
              <w:t xml:space="preserve">CSA Agentic Trust Framework: Woodruff, J. (2026). MassiveScale.AI / Cloud Security Alliance. CC BY 4.0. github.com/massivescale-ai/agentic-trust-framework</w:t>
            </w:r>
          </w:p>
          <w:p>
            <w:pPr>
              <w:spacing w:after="40" w:before="0"/>
              <w:jc w:val="left"/>
            </w:pPr>
            <w:r>
              <w:rPr>
                <w:rFonts w:ascii="Arial" w:cs="Arial" w:eastAsia="Arial" w:hAnsi="Arial"/>
                <w:color w:val="000000"/>
                <w:sz w:val="18"/>
                <w:szCs w:val="18"/>
              </w:rPr>
              <w:t xml:space="preserve">OWASP Top 10 for Agentic Applications 2026: OWASP GenAI Security Project (2025). CC BY-SA 4.0. genai.owasp.org</w:t>
            </w:r>
          </w:p>
          <w:p>
            <w:pPr>
              <w:spacing w:after="80" w:before="0"/>
              <w:jc w:val="left"/>
            </w:pPr>
            <w:r>
              <w:rPr>
                <w:rFonts w:ascii="Arial" w:cs="Arial" w:eastAsia="Arial" w:hAnsi="Arial"/>
                <w:color w:val="000000"/>
                <w:sz w:val="18"/>
                <w:szCs w:val="18"/>
              </w:rPr>
              <w:t xml:space="preserve">NIST AI Risk Management Framework 1.0: NIST (2023). NIST AI 100-1. airc.nist.gov</w:t>
            </w:r>
          </w:p>
        </w:tc>
      </w:tr>
    </w:tbl>
    <w:sectPr>
      <w:footerReference w:type="default" r:id="rId7"/>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A4A4A"/>
        <w:sz w:val="17"/>
        <w:szCs w:val="17"/>
      </w:rPr>
      <w:t xml:space="preserve">AAC v1.3 Framework Crosswalk  ·  CC BY 4.0  ·  Raj Thakuri  ·  Page </w:t>
    </w:r>
    <w:r>
      <w:rPr>
        <w:rFonts w:ascii="Arial" w:cs="Arial" w:eastAsia="Arial" w:hAnsi="Arial"/>
        <w:color w:val="4A4A4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Arial" w:cs="Arial" w:eastAsia="Arial" w:hAnsi="Arial"/>
      <w:b/>
      <w:bCs/>
      <w:color w:val="1B3A6B"/>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2E5FA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2026-04-07T01:52:52.632Z</dcterms:created>
  <dcterms:modified xsi:type="dcterms:W3CDTF">2026-04-07T01:52:52.632Z</dcterms:modified>
</cp:coreProperties>
</file>

<file path=docProps/custom.xml><?xml version="1.0" encoding="utf-8"?>
<Properties xmlns="http://schemas.openxmlformats.org/officeDocument/2006/custom-properties" xmlns:vt="http://schemas.openxmlformats.org/officeDocument/2006/docPropsVTypes"/>
</file>