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B3A6B" w:val="clear"/>
            <w:tcMar>
              <w:top w:type="dxa" w:w="400"/>
              <w:left w:type="dxa" w:w="400"/>
              <w:bottom w:type="dxa" w:w="400"/>
              <w:right w:type="dxa" w:w="400"/>
            </w:tcMar>
          </w:tcPr>
          <w:p>
            <w:pPr>
              <w:spacing w:after="100" w:before="0"/>
            </w:pPr>
            <w:r>
              <w:rPr>
                <w:rFonts w:ascii="Arial" w:cs="Arial" w:eastAsia="Arial" w:hAnsi="Arial"/>
                <w:b/>
                <w:bCs/>
                <w:color w:val="AACCEE"/>
                <w:sz w:val="28"/>
                <w:szCs w:val="28"/>
              </w:rPr>
              <w:t xml:space="preserve">AUTONOMOUS AGENTIC COVENANT</w:t>
            </w:r>
          </w:p>
          <w:p>
            <w:pPr>
              <w:spacing w:after="160" w:before="0"/>
            </w:pPr>
            <w:r>
              <w:rPr>
                <w:rFonts w:ascii="Arial" w:cs="Arial" w:eastAsia="Arial" w:hAnsi="Arial"/>
                <w:b/>
                <w:bCs/>
                <w:color w:val="FFFFFF"/>
                <w:sz w:val="48"/>
                <w:szCs w:val="48"/>
              </w:rPr>
              <w:t xml:space="preserve">Implementation Profile</w:t>
            </w:r>
          </w:p>
          <w:p>
            <w:pPr>
              <w:spacing w:after="100" w:before="0"/>
            </w:pPr>
            <w:r>
              <w:rPr>
                <w:rFonts w:ascii="Arial" w:cs="Arial" w:eastAsia="Arial" w:hAnsi="Arial"/>
                <w:i/>
                <w:iCs/>
                <w:color w:val="AACCEE"/>
                <w:sz w:val="22"/>
                <w:szCs w:val="22"/>
              </w:rPr>
              <w:t xml:space="preserve">A structured template for deploying systems to declare context-specific parameters,</w:t>
            </w:r>
          </w:p>
          <w:p>
            <w:pPr>
              <w:spacing w:after="200" w:before="0"/>
            </w:pPr>
            <w:r>
              <w:rPr>
                <w:rFonts w:ascii="Arial" w:cs="Arial" w:eastAsia="Arial" w:hAnsi="Arial"/>
                <w:i/>
                <w:iCs/>
                <w:color w:val="AACCEE"/>
                <w:sz w:val="22"/>
                <w:szCs w:val="22"/>
              </w:rPr>
              <w:t xml:space="preserve">thresholds, taxonomies, and acceptance criteria required by the AAC governance framework.</w:t>
            </w:r>
          </w:p>
          <w:p>
            <w:pPr>
              <w:spacing w:after="80" w:before="0"/>
            </w:pPr>
            <w:r>
              <w:rPr>
                <w:rFonts w:ascii="Arial" w:cs="Arial" w:eastAsia="Arial" w:hAnsi="Arial"/>
                <w:color w:val="AACCEE"/>
                <w:sz w:val="20"/>
                <w:szCs w:val="20"/>
              </w:rPr>
              <w:t xml:space="preserve">Template Version: 1.0  ·  April 2026  ·  Compatible with AAC v1.3</w:t>
            </w:r>
          </w:p>
          <w:p>
            <w:pPr>
              <w:spacing w:after="80" w:before="0"/>
            </w:pPr>
            <w:r>
              <w:rPr>
                <w:rFonts w:ascii="Arial" w:cs="Arial" w:eastAsia="Arial" w:hAnsi="Arial"/>
                <w:color w:val="FFFFFF"/>
                <w:sz w:val="20"/>
                <w:szCs w:val="20"/>
              </w:rPr>
              <w:t xml:space="preserve">Prepared by: ___________________________     System Name: ___________________________</w:t>
            </w:r>
          </w:p>
          <w:p>
            <w:pPr>
              <w:spacing w:after="0" w:before="0"/>
            </w:pPr>
            <w:r>
              <w:rPr>
                <w:rFonts w:ascii="Arial" w:cs="Arial" w:eastAsia="Arial" w:hAnsi="Arial"/>
                <w:color w:val="FFFFFF"/>
                <w:sz w:val="20"/>
                <w:szCs w:val="20"/>
              </w:rPr>
              <w:t xml:space="preserve">Profile Version: ___________     Date: ___________     Review Date: ___________</w:t>
            </w:r>
          </w:p>
        </w:tc>
      </w:tr>
    </w:tbl>
    <w:p>
      <w:pPr>
        <w:spacing w:after="16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single" w:color="1A6B5A" w:sz="12"/>
              <w:bottom w:val="none" w:color="FFFFFF" w:sz="0"/>
              <w:right w:val="none" w:color="FFFFFF" w:sz="0"/>
            </w:tcBorders>
            <w:shd w:fill="D6F0EB" w:val="clear"/>
            <w:tcMar>
              <w:top w:type="dxa" w:w="160"/>
              <w:left w:type="dxa" w:w="200"/>
              <w:bottom w:type="dxa" w:w="160"/>
              <w:right w:type="dxa" w:w="200"/>
            </w:tcMar>
          </w:tcPr>
          <w:p>
            <w:pPr>
              <w:spacing w:after="80" w:before="0"/>
              <w:jc w:val="left"/>
            </w:pPr>
            <w:r>
              <w:rPr>
                <w:rFonts w:ascii="Arial" w:cs="Arial" w:eastAsia="Arial" w:hAnsi="Arial"/>
                <w:b/>
                <w:bCs/>
                <w:color w:val="1A6B5A"/>
                <w:sz w:val="22"/>
                <w:szCs w:val="22"/>
              </w:rPr>
              <w:t xml:space="preserve">Purpose of This Document</w:t>
            </w:r>
          </w:p>
          <w:p>
            <w:pPr>
              <w:spacing w:after="80" w:before="0"/>
              <w:jc w:val="left"/>
            </w:pPr>
            <w:r>
              <w:rPr>
                <w:rFonts w:ascii="Arial" w:cs="Arial" w:eastAsia="Arial" w:hAnsi="Arial"/>
                <w:color w:val="000000"/>
                <w:sz w:val="21"/>
                <w:szCs w:val="21"/>
              </w:rPr>
              <w:t xml:space="preserve">The Autonomous Agentic Covenant defines governance principles that are intentionally universal. Certain principles require deploying systems to specify context-specific parameters before they become testable and auditable. This Implementation Profile is the mechanism for capturing those parameters.</w:t>
            </w:r>
          </w:p>
          <w:p>
            <w:pPr>
              <w:spacing w:after="80" w:before="0"/>
              <w:jc w:val="left"/>
            </w:pPr>
            <w:r>
              <w:rPr>
                <w:rFonts w:ascii="Arial" w:cs="Arial" w:eastAsia="Arial" w:hAnsi="Arial"/>
                <w:color w:val="000000"/>
                <w:sz w:val="21"/>
                <w:szCs w:val="21"/>
              </w:rPr>
              <w:t xml:space="preserve">A completed profile is a governance artifact under AAC-OG-24 and must be version-controlled, linked to CI/CD pipelines, and updated whenever system behavior changes. An incomplete or missing profile means the relevant AAC principles cannot be verified — and are therefore non-compliant.</w:t>
            </w:r>
          </w:p>
          <w:p>
            <w:pPr>
              <w:spacing w:after="100" w:before="0"/>
              <w:jc w:val="left"/>
            </w:pPr>
            <w:r>
              <w:rPr>
                <w:rFonts w:ascii="Arial" w:cs="Arial" w:eastAsia="Arial" w:hAnsi="Arial"/>
                <w:color w:val="000000"/>
                <w:sz w:val="21"/>
                <w:szCs w:val="21"/>
              </w:rPr>
              <w:t xml:space="preserve">Profile sections map directly to AAC control identifiers. Complete every section applicable to your deployment context. Mark sections N/A only with documented justification.</w:t>
            </w:r>
          </w:p>
        </w:tc>
      </w:tr>
    </w:tbl>
    <w:p>
      <w:pPr>
        <w:spacing w:after="16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000"/>
        <w:gridCol w:w="6360"/>
      </w:tblGrid>
      <w:tr>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Section</w:t>
            </w:r>
          </w:p>
        </w:tc>
        <w:tc>
          <w:tcPr>
            <w:tcW w:type="dxa" w:w="63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AAC Controls Addressed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val="false"/>
                <w:bCs w:val="false"/>
                <w:color w:val="000000"/>
                <w:sz w:val="20"/>
                <w:szCs w:val="20"/>
              </w:rPr>
              <w:t xml:space="preserve">1 · Deployment Context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20"/>
                <w:szCs w:val="20"/>
              </w:rPr>
              <w:t xml:space="preserve">All — scopes the profile to a specific system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2 · Harm Classification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AAC-DA-59, AAC-DNH-0b, AAC-DNH-0d, AAC-DNH-0g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3 · Agent Trust Tiers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AAC-AO-49, AAC-AO-52, AAC-AO-53, AAC-TS-14</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4 · Confidence Thresholds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AAC-AI-10, AAC-DA-62, AAC-AO-51</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5 · Resource Boundaries</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AAC-AO-58</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6 · System Safe Mode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AAC-RS-39</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7 · Policy Enforcement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AAC-OG-25</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8 · Acceptance Criteria</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All — defines how each section is verified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9 · Review &amp; Governance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AAC-OG-24, AAC-AO-56, AAC-TB-29</w:t>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1 — Deployment Context</w:t>
      </w:r>
    </w:p>
    <w:p>
      <w:pPr>
        <w:spacing w:after="160" w:before="0"/>
        <w:jc w:val="left"/>
      </w:pPr>
      <w:r>
        <w:rPr>
          <w:rFonts w:ascii="Arial" w:cs="Arial" w:eastAsia="Arial" w:hAnsi="Arial"/>
          <w:color w:val="000000"/>
          <w:sz w:val="21"/>
          <w:szCs w:val="21"/>
        </w:rPr>
        <w:t xml:space="preserve">Every profile is scoped to a specific deployed system. Complete all fields. This section anchors all subsequent declarations to a specific deployment and is referenced in audit evidence.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System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The name of the system or platform this profile governs</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System Description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Brief description of the system's function and scope (2–3 sentences)</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Deployment Environment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e.g. AWS us-east-1, Azure East US, on-premises, hybrid</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Primary Use Case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e.g. healthcare data analytics, financial trading, customer support automation</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Risk Classification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Low / Medium / High / Critical — with brief justification</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Regulatory Context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e.g. HIPAA, SOC 2, EU AI Act, none — list applicable frameworks</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AAC Version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Version of the AAC this profile is written against (e.g. v1.3)</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Profile Owner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Name and role of the person responsible for maintaining this profile</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Review Cadence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How often this profile is reviewed (e.g. quarterly, on each system change)</w:t>
            </w:r>
          </w:p>
        </w:tc>
      </w:tr>
    </w:tbl>
    <w:p>
      <w:pPr>
        <w:spacing w:after="12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
        <w:gridCol w:w="9200"/>
      </w:tblGrid>
      <w:tr>
        <w:tc>
          <w:tcPr>
            <w:tcW w:type="dxa" w:w="160"/>
            <w:tcBorders>
              <w:top w:val="none" w:color="FFFFFF" w:sz="0"/>
              <w:left w:val="single" w:color="6B4A1A" w:sz="12"/>
              <w:bottom w:val="none" w:color="FFFFFF" w:sz="0"/>
              <w:right w:val="none" w:color="FFFFFF" w:sz="0"/>
            </w:tcBorders>
            <w:shd w:fill="F7EDD6" w:val="clear"/>
            <w:tcMar>
              <w:top w:type="dxa" w:w="80"/>
              <w:left w:type="dxa" w:w="100"/>
              <w:bottom w:type="dxa" w:w="80"/>
              <w:right w:type="dxa" w:w="60"/>
            </w:tcMar>
          </w:tcPr>
          <w:p>
            <w:pPr>
              <w:spacing w:after="100" w:before="0"/>
              <w:jc w:val="left"/>
            </w:pPr>
            <w:r>
              <w:rPr>
                <w:rFonts w:ascii="Arial" w:cs="Arial" w:eastAsia="Arial" w:hAnsi="Arial"/>
                <w:color w:val="000000"/>
                <w:sz w:val="20"/>
                <w:szCs w:val="20"/>
              </w:rPr>
              <w:t xml:space="preserve"/>
            </w:r>
          </w:p>
        </w:tc>
        <w:tc>
          <w:tcPr>
            <w:tcW w:type="dxa" w:w="9200"/>
            <w:tcBorders>
              <w:top w:val="none" w:color="FFFFFF" w:sz="0"/>
              <w:left w:val="none" w:color="FFFFFF" w:sz="0"/>
              <w:bottom w:val="single" w:color="CCCCCC" w:sz="1"/>
              <w:right w:val="none" w:color="FFFFFF" w:sz="0"/>
            </w:tcBorders>
            <w:shd w:fill="F7EDD6" w:val="clear"/>
            <w:tcMar>
              <w:top w:type="dxa" w:w="100"/>
              <w:left w:type="dxa" w:w="160"/>
              <w:bottom w:type="dxa" w:w="100"/>
              <w:right w:type="dxa" w:w="120"/>
            </w:tcMar>
          </w:tcPr>
          <w:p>
            <w:pPr>
              <w:spacing w:after="60" w:before="0"/>
              <w:jc w:val="left"/>
            </w:pPr>
            <w:r>
              <w:rPr>
                <w:rFonts w:ascii="Arial" w:cs="Arial" w:eastAsia="Arial" w:hAnsi="Arial"/>
                <w:b/>
                <w:bCs/>
                <w:color w:val="6B4A1A"/>
                <w:sz w:val="21"/>
                <w:szCs w:val="21"/>
              </w:rPr>
              <w:t xml:space="preserve">Governance Note</w:t>
            </w:r>
          </w:p>
          <w:p>
            <w:pPr>
              <w:spacing w:after="80" w:before="0"/>
              <w:jc w:val="left"/>
            </w:pPr>
            <w:r>
              <w:rPr>
                <w:rFonts w:ascii="Arial" w:cs="Arial" w:eastAsia="Arial" w:hAnsi="Arial"/>
                <w:color w:val="4A4A4A"/>
                <w:sz w:val="21"/>
                <w:szCs w:val="21"/>
              </w:rPr>
              <w:t xml:space="preserve">This profile is a first-class governance artifact under AAC-OG-24. It must be stored in version control, linked to the system's CI/CD pipeline, and reviewed on the cadence declared above. Changes to system behavior that affect any section of this profile require a profile update before deployment.</w:t>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2 — Harm Classification</w:t>
      </w:r>
    </w:p>
    <w:p>
      <w:pPr>
        <w:spacing w:after="120" w:before="0"/>
        <w:jc w:val="left"/>
      </w:pPr>
      <w:r>
        <w:rPr>
          <w:rFonts w:ascii="Arial" w:cs="Arial" w:eastAsia="Arial" w:hAnsi="Arial"/>
          <w:i/>
          <w:iCs/>
          <w:color w:val="4A4A4A"/>
          <w:sz w:val="20"/>
          <w:szCs w:val="20"/>
        </w:rPr>
        <w:t xml:space="preserve">Required by: AAC-DA-59 (harm classification and tradeoff resolution), AAC-DNH-0b (property harm adequacy), AAC-DNH-0d (traceable conditions), AAC-DNH-0g (foreseeable harm signals).</w:t>
      </w:r>
    </w:p>
    <w:p>
      <w:pPr>
        <w:spacing w:after="160" w:before="0"/>
        <w:jc w:val="left"/>
      </w:pPr>
      <w:r>
        <w:rPr>
          <w:rFonts w:ascii="Arial" w:cs="Arial" w:eastAsia="Arial" w:hAnsi="Arial"/>
          <w:color w:val="000000"/>
          <w:sz w:val="21"/>
          <w:szCs w:val="21"/>
        </w:rPr>
        <w:t xml:space="preserve">The AAC defines three harm tiers — friction, material, and irreversible — but requires deploying systems to populate each tier with context-specific harm categories. This section also defines what constitutes a 'foreseeable harm signal' in your operational context (AAC-DNH-0g) and what 'adequate protection' means for assets in your system (AAC-DNH-0b).</w:t>
      </w:r>
    </w:p>
    <w:p>
      <w:pPr>
        <w:pStyle w:val="Heading2"/>
        <w:spacing w:after="120" w:before="280"/>
      </w:pPr>
      <w:r>
        <w:rPr>
          <w:rFonts w:ascii="Arial" w:cs="Arial" w:eastAsia="Arial" w:hAnsi="Arial"/>
          <w:b/>
          <w:bCs/>
          <w:color w:val="2E5FA3"/>
          <w:sz w:val="26"/>
          <w:szCs w:val="26"/>
        </w:rPr>
        <w:t xml:space="preserve">2.1 — Harm Tier Definitions</w:t>
      </w:r>
    </w:p>
    <w:p>
      <w:pPr>
        <w:spacing w:after="120" w:before="0"/>
        <w:jc w:val="left"/>
      </w:pPr>
      <w:r>
        <w:rPr>
          <w:rFonts w:ascii="Arial" w:cs="Arial" w:eastAsia="Arial" w:hAnsi="Arial"/>
          <w:color w:val="000000"/>
          <w:sz w:val="21"/>
          <w:szCs w:val="21"/>
        </w:rPr>
        <w:t xml:space="preserve">For each tier, list the specific harm categories applicable to this system. Examples are provided as starting points; delete or add categories as appropriate.</w:t>
      </w:r>
    </w:p>
    <w:p>
      <w:pPr>
        <w:spacing w:after="6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4360"/>
        <w:gridCol w:w="3200"/>
      </w:tblGrid>
      <w:tr>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Tier</w:t>
            </w:r>
          </w:p>
        </w:tc>
        <w:tc>
          <w:tcPr>
            <w:tcW w:type="dxa" w:w="43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Harm Categories (this system)</w:t>
            </w:r>
          </w:p>
        </w:tc>
        <w:tc>
          <w:tcPr>
            <w:tcW w:type="dxa" w:w="3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Examples from AAC-DA-59</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8B1A1A"/>
                <w:sz w:val="19"/>
                <w:szCs w:val="19"/>
              </w:rPr>
              <w:t xml:space="preserve">Tier 1 — Irreversible</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List harm categories specific to this system ]</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Loss of life, physical safety compromise, unrecoverable financial loss, data breach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b/>
                <w:bCs/>
                <w:color w:val="6B4A1A"/>
                <w:sz w:val="19"/>
                <w:szCs w:val="19"/>
              </w:rPr>
              <w:t xml:space="preserve">Tier 2 — Material</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List harm categories specific to this system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Temporary financial loss, incorrect automated decisions, asset degradation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A6B5A"/>
                <w:sz w:val="19"/>
                <w:szCs w:val="19"/>
              </w:rPr>
              <w:t xml:space="preserve">Tier 3 — Friction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List harm categories specific to this system ]</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Latency, explainability gaps, degraded user experience</w:t>
            </w:r>
          </w:p>
        </w:tc>
      </w:tr>
    </w:tbl>
    <w:p>
      <w:pPr>
        <w:spacing w:after="16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2.2 — Foreseeable Harm Signal Taxonomy</w:t>
      </w:r>
    </w:p>
    <w:p>
      <w:pPr>
        <w:spacing w:after="120" w:before="0"/>
        <w:jc w:val="left"/>
      </w:pPr>
      <w:r>
        <w:rPr>
          <w:rFonts w:ascii="Arial" w:cs="Arial" w:eastAsia="Arial" w:hAnsi="Arial"/>
          <w:color w:val="000000"/>
          <w:sz w:val="21"/>
          <w:szCs w:val="21"/>
        </w:rPr>
        <w:t xml:space="preserve">Required by AAC-DNH-0g. Define the observable evidence that constitutes a foreseeable harm signal in this system. In v1.3, AAC-DNH-0g requires that when available evidence clearly indicates a dangerous outcome, the system must act. Define: what evidence qualifies, how it is detected, and what action it obligates.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000"/>
        <w:gridCol w:w="6360"/>
      </w:tblGrid>
      <w:tr>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Signal Type</w:t>
            </w:r>
          </w:p>
        </w:tc>
        <w:tc>
          <w:tcPr>
            <w:tcW w:type="dxa" w:w="63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Source → Required Action</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val="false"/>
                <w:bCs w:val="false"/>
                <w:color w:val="000000"/>
                <w:sz w:val="20"/>
                <w:szCs w:val="20"/>
              </w:rPr>
              <w:t xml:space="preserve">e.g. Fraud pattern detected</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20"/>
                <w:szCs w:val="20"/>
              </w:rPr>
              <w:t xml:space="preserve">Risk scoring engine → Block transaction, alert operator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b w:val="false"/>
                <w:bCs w:val="false"/>
                <w:color w:val="000000"/>
                <w:sz w:val="20"/>
                <w:szCs w:val="20"/>
              </w:rPr>
              <w:t xml:space="preserve">e.g. Dangerous condition flagged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000000"/>
                <w:sz w:val="20"/>
                <w:szCs w:val="20"/>
              </w:rPr>
              <w:t xml:space="preserve">Document analysis agent → Halt transaction, require human review</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val="false"/>
                <w:bCs w:val="false"/>
                <w:color w:val="000000"/>
                <w:sz w:val="20"/>
                <w:szCs w:val="20"/>
              </w:rPr>
              <w:t xml:space="preserve">[ Add signals specific to this system ]</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20"/>
                <w:szCs w:val="20"/>
              </w:rPr>
              <w:t xml:space="preserve"/>
            </w:r>
          </w:p>
        </w:tc>
      </w:tr>
    </w:tbl>
    <w:p>
      <w:pPr>
        <w:spacing w:after="16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2.3 — Asset Protection Adequacy</w:t>
      </w:r>
    </w:p>
    <w:p>
      <w:pPr>
        <w:spacing w:after="120" w:before="0"/>
        <w:jc w:val="left"/>
      </w:pPr>
      <w:r>
        <w:rPr>
          <w:rFonts w:ascii="Arial" w:cs="Arial" w:eastAsia="Arial" w:hAnsi="Arial"/>
          <w:color w:val="000000"/>
          <w:sz w:val="21"/>
          <w:szCs w:val="21"/>
        </w:rPr>
        <w:t xml:space="preserve">Required by AAC-DNH-0b. Define what 'adequate protection' means for assets handled by this system. If protection cannot be assured, what is the condition under which a transaction must not proceed?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Asset Types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List the categories of assets this system handles (physical, digital, financial, PII, etc.)</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Protection Standard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Define what constitutes adequate protection for each asset type</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Halt Condition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Define the condition under which a transaction must not proceed due to inadequate protection</w:t>
            </w:r>
          </w:p>
        </w:tc>
      </w:tr>
    </w:tbl>
    <w:p>
      <w:pPr>
        <w:spacing w:after="12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2.4 — Traceable Conditions Standard</w:t>
      </w:r>
    </w:p>
    <w:p>
      <w:pPr>
        <w:spacing w:after="120" w:before="0"/>
        <w:jc w:val="left"/>
      </w:pPr>
      <w:r>
        <w:rPr>
          <w:rFonts w:ascii="Arial" w:cs="Arial" w:eastAsia="Arial" w:hAnsi="Arial"/>
          <w:color w:val="000000"/>
          <w:sz w:val="21"/>
          <w:szCs w:val="21"/>
        </w:rPr>
        <w:t xml:space="preserve">Required by AAC-DNH-0d. Define what 'traceable conditions' means for automated recommendations in this system — how do you verify that recommendations reflect actual, traceable conditions rather than system objectives? In v1.3, AAC-DNH-0d requires recommendations to be traceable to source data, not merely asserted as genuine.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Recommendation Types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List the types of automated recommendations this system produces</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Source Data Requirement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Define the source data each recommendation type must be traceable to</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Audit Method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How are recommendations verified against source data? (e.g. automated audit log cross-reference, periodic sample review)</w:t>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3 — Agent Trust Tiers</w:t>
      </w:r>
    </w:p>
    <w:p>
      <w:pPr>
        <w:spacing w:after="120" w:before="0"/>
        <w:jc w:val="left"/>
      </w:pPr>
      <w:r>
        <w:rPr>
          <w:rFonts w:ascii="Arial" w:cs="Arial" w:eastAsia="Arial" w:hAnsi="Arial"/>
          <w:i/>
          <w:iCs/>
          <w:color w:val="4A4A4A"/>
          <w:sz w:val="20"/>
          <w:szCs w:val="20"/>
        </w:rPr>
        <w:t xml:space="preserve">Required by: AAC-AO-49 (earned autonomy), AAC-AO-52 (explicit trust tiers), AAC-AO-53 (dynamic adjustment), AAC-TS-14 (graduated trust).</w:t>
      </w:r>
    </w:p>
    <w:p>
      <w:pPr>
        <w:spacing w:after="160" w:before="0"/>
        <w:jc w:val="left"/>
      </w:pPr>
      <w:r>
        <w:rPr>
          <w:rFonts w:ascii="Arial" w:cs="Arial" w:eastAsia="Arial" w:hAnsi="Arial"/>
          <w:color w:val="000000"/>
          <w:sz w:val="21"/>
          <w:szCs w:val="21"/>
        </w:rPr>
        <w:t xml:space="preserve">The AAC requires that every agent operates at an explicitly assigned trust tier, that tiers are defined by the deploying system, and that criteria for graduation and demotion are documented before deployment. Complete one row per agent or agent class deployed in this system.</w:t>
      </w:r>
    </w:p>
    <w:p>
      <w:pPr>
        <w:pStyle w:val="Heading2"/>
        <w:spacing w:after="120" w:before="280"/>
      </w:pPr>
      <w:r>
        <w:rPr>
          <w:rFonts w:ascii="Arial" w:cs="Arial" w:eastAsia="Arial" w:hAnsi="Arial"/>
          <w:b/>
          <w:bCs/>
          <w:color w:val="2E5FA3"/>
          <w:sz w:val="26"/>
          <w:szCs w:val="26"/>
        </w:rPr>
        <w:t xml:space="preserve">3.1 — Trust Tier Schema</w:t>
      </w:r>
    </w:p>
    <w:p>
      <w:pPr>
        <w:spacing w:after="120" w:before="0"/>
        <w:jc w:val="left"/>
      </w:pPr>
      <w:r>
        <w:rPr>
          <w:rFonts w:ascii="Arial" w:cs="Arial" w:eastAsia="Arial" w:hAnsi="Arial"/>
          <w:color w:val="000000"/>
          <w:sz w:val="21"/>
          <w:szCs w:val="21"/>
        </w:rPr>
        <w:t xml:space="preserve">Define the trust tier levels applicable to this deployment. The AAC does not prescribe specific tier labels — define levels appropriate to your system. Examples are provided.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2800"/>
        <w:gridCol w:w="2600"/>
        <w:gridCol w:w="2560"/>
      </w:tblGrid>
      <w:tr>
        <w:tc>
          <w:tcPr>
            <w:tcW w:type="dxa" w:w="1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Tier Label</w:t>
            </w:r>
          </w:p>
        </w:tc>
        <w:tc>
          <w:tcPr>
            <w:tcW w:type="dxa" w:w="2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Permitted Actions</w:t>
            </w:r>
          </w:p>
        </w:tc>
        <w:tc>
          <w:tcPr>
            <w:tcW w:type="dxa" w:w="26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Requires Human Approval</w:t>
            </w:r>
          </w:p>
        </w:tc>
        <w:tc>
          <w:tcPr>
            <w:tcW w:type="dxa" w:w="25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Audit Requirement</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Observation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Read-only; no state changes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All actions</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Full audit log</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Advisory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Recommend actions; no execution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All executions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Decision + recommendation log</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Conditional</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Execute within bounded scope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Actions above defined risk threshold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Action + arbitration log</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Autonomous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Execute within full task scope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Tier 1 harm actions only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9"/>
                <w:szCs w:val="19"/>
              </w:rPr>
              <w:t xml:space="preserve">Continuous telemetry + periodic review</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9"/>
                <w:szCs w:val="19"/>
              </w:rPr>
              <w:t xml:space="preserve">[ Add tiers as needed ]</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9"/>
                <w:szCs w:val="19"/>
              </w:rPr>
              <w:t xml:space="preserve"/>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9"/>
                <w:szCs w:val="19"/>
              </w:rPr>
              <w:t xml:space="preserve"/>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9"/>
                <w:szCs w:val="19"/>
              </w:rPr>
              <w:t xml:space="preserve"/>
            </w:r>
          </w:p>
        </w:tc>
      </w:tr>
    </w:tbl>
    <w:p>
      <w:pPr>
        <w:spacing w:after="16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3.2 — Agent Registry</w:t>
      </w:r>
    </w:p>
    <w:p>
      <w:pPr>
        <w:spacing w:after="120" w:before="0"/>
        <w:jc w:val="left"/>
      </w:pPr>
      <w:r>
        <w:rPr>
          <w:rFonts w:ascii="Arial" w:cs="Arial" w:eastAsia="Arial" w:hAnsi="Arial"/>
          <w:color w:val="000000"/>
          <w:sz w:val="21"/>
          <w:szCs w:val="21"/>
        </w:rPr>
        <w:t xml:space="preserve">Complete one row per agent or agent class. All agents must be registered before deployment. Unregistered agents are not permitted to operate.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2200"/>
        <w:gridCol w:w="1560"/>
        <w:gridCol w:w="1800"/>
        <w:gridCol w:w="2000"/>
      </w:tblGrid>
      <w:tr>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Agent Name / Class</w:t>
            </w:r>
          </w:p>
        </w:tc>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Function</w:t>
            </w:r>
          </w:p>
        </w:tc>
        <w:tc>
          <w:tcPr>
            <w:tcW w:type="dxa" w:w="15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Initial Tier</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Promotion Criteria</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Demotion Trigger</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name ]</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Function description ]</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Tier label ]</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Accuracy threshold + min operating period ]</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KPI threshold breach ]</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name ]</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Function description ]</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Tier label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Accuracy threshold + min operating period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KPI threshold breach ]</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Add rows ]</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r>
    </w:tbl>
    <w:p>
      <w:pPr>
        <w:spacing w:after="12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
        <w:gridCol w:w="9200"/>
      </w:tblGrid>
      <w:tr>
        <w:tc>
          <w:tcPr>
            <w:tcW w:type="dxa" w:w="160"/>
            <w:tcBorders>
              <w:top w:val="none" w:color="FFFFFF" w:sz="0"/>
              <w:left w:val="single" w:color="2E5FA3" w:sz="12"/>
              <w:bottom w:val="none" w:color="FFFFFF" w:sz="0"/>
              <w:right w:val="none" w:color="FFFFFF" w:sz="0"/>
            </w:tcBorders>
            <w:shd w:fill="D6E4F7" w:val="clear"/>
            <w:tcMar>
              <w:top w:type="dxa" w:w="80"/>
              <w:left w:type="dxa" w:w="100"/>
              <w:bottom w:type="dxa" w:w="80"/>
              <w:right w:type="dxa" w:w="60"/>
            </w:tcMar>
          </w:tcPr>
          <w:p>
            <w:pPr>
              <w:spacing w:after="100" w:before="0"/>
              <w:jc w:val="left"/>
            </w:pPr>
            <w:r>
              <w:rPr>
                <w:rFonts w:ascii="Arial" w:cs="Arial" w:eastAsia="Arial" w:hAnsi="Arial"/>
                <w:color w:val="000000"/>
                <w:sz w:val="20"/>
                <w:szCs w:val="20"/>
              </w:rPr>
              <w:t xml:space="preserve"/>
            </w:r>
          </w:p>
        </w:tc>
        <w:tc>
          <w:tcPr>
            <w:tcW w:type="dxa" w:w="920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1"/>
                <w:szCs w:val="21"/>
              </w:rPr>
              <w:t xml:space="preserve">Governance Requirement</w:t>
            </w:r>
          </w:p>
          <w:p>
            <w:pPr>
              <w:spacing w:after="80" w:before="0"/>
              <w:jc w:val="left"/>
            </w:pPr>
            <w:r>
              <w:rPr>
                <w:rFonts w:ascii="Arial" w:cs="Arial" w:eastAsia="Arial" w:hAnsi="Arial"/>
                <w:color w:val="4A4A4A"/>
                <w:sz w:val="21"/>
                <w:szCs w:val="21"/>
              </w:rPr>
              <w:t xml:space="preserve">Promotion to a higher trust tier requires a signed governance approval document referencing the agent name, the evidence basis for promotion, and the approver. This document is stored alongside this profile and linked from the agent registry. Demotion is automatic and does not require approval, but must be logged with the triggering evidence.</w:t>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4 — Confidence Thresholds</w:t>
      </w:r>
    </w:p>
    <w:p>
      <w:pPr>
        <w:spacing w:after="120" w:before="0"/>
        <w:jc w:val="left"/>
      </w:pPr>
      <w:r>
        <w:rPr>
          <w:rFonts w:ascii="Arial" w:cs="Arial" w:eastAsia="Arial" w:hAnsi="Arial"/>
          <w:i/>
          <w:iCs/>
          <w:color w:val="4A4A4A"/>
          <w:sz w:val="20"/>
          <w:szCs w:val="20"/>
        </w:rPr>
        <w:t xml:space="preserve">Required by: AAC-AI-10 (confidence thresholds and graceful degradation), AAC-DA-62 (arbitration layer confidence enforcement), AAC-AO-51 (self-monitoring KPIs), AAC-AI-13 (human trust calibration). Note: AAC-DA-60 in v1.3 scopes full arbitration to high-risk actions. Confidence threshold definitions in this section should align with your harm tier classification to determine which actions require arbitration-layer enforcement.</w:t>
      </w:r>
    </w:p>
    <w:p>
      <w:pPr>
        <w:spacing w:after="160" w:before="0"/>
        <w:jc w:val="left"/>
      </w:pPr>
      <w:r>
        <w:rPr>
          <w:rFonts w:ascii="Arial" w:cs="Arial" w:eastAsia="Arial" w:hAnsi="Arial"/>
          <w:color w:val="000000"/>
          <w:sz w:val="21"/>
          <w:szCs w:val="21"/>
        </w:rPr>
        <w:t xml:space="preserve">Confidence thresholds must be defined per agent and per action risk class before deployment. The arbitration layer uses these values to independently verify agent confidence claims. Undeclared thresholds cannot be enforced.</w:t>
      </w:r>
    </w:p>
    <w:p>
      <w:pPr>
        <w:pStyle w:val="Heading2"/>
        <w:spacing w:after="120" w:before="280"/>
      </w:pPr>
      <w:r>
        <w:rPr>
          <w:rFonts w:ascii="Arial" w:cs="Arial" w:eastAsia="Arial" w:hAnsi="Arial"/>
          <w:b/>
          <w:bCs/>
          <w:color w:val="2E5FA3"/>
          <w:sz w:val="26"/>
          <w:szCs w:val="26"/>
        </w:rPr>
        <w:t xml:space="preserve">4.1 — Confidence Threshold Registry</w:t>
      </w:r>
    </w:p>
    <w:p>
      <w:pPr>
        <w:spacing w:after="120" w:before="0"/>
        <w:jc w:val="left"/>
      </w:pPr>
      <w:r>
        <w:rPr>
          <w:rFonts w:ascii="Arial" w:cs="Arial" w:eastAsia="Arial" w:hAnsi="Arial"/>
          <w:color w:val="000000"/>
          <w:sz w:val="21"/>
          <w:szCs w:val="21"/>
        </w:rPr>
        <w:t xml:space="preserve">Define the minimum confidence score required for each action risk class. Scores below threshold must trigger escalation, not execution.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1800"/>
        <w:gridCol w:w="1800"/>
        <w:gridCol w:w="1960"/>
        <w:gridCol w:w="1800"/>
      </w:tblGrid>
      <w:tr>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Agent / Action Type</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Risk Class</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Min Confidence Score</w:t>
            </w:r>
          </w:p>
        </w:tc>
        <w:tc>
          <w:tcPr>
            <w:tcW w:type="dxa" w:w="19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Below-Threshold Action</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Displayed to User?</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 action ]</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Tier 1 (Irreversible)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0.95 ]</w:t>
            </w:r>
          </w:p>
        </w:tc>
        <w:tc>
          <w:tcPr>
            <w:tcW w:type="dxa" w:w="1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Escalate to human ]</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Yes / No + format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 action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Tier 2 (Material)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0.80 ]</w:t>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Defer + request confirmation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Yes / No + format ]</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 action ]</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Tier 3 (Friction)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0.60 ]</w:t>
            </w:r>
          </w:p>
        </w:tc>
        <w:tc>
          <w:tcPr>
            <w:tcW w:type="dxa" w:w="1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Restrict + log ]</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Yes / No + format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Add rows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r>
    </w:tbl>
    <w:p>
      <w:pPr>
        <w:spacing w:after="16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4.2 — Independent Verification Method</w:t>
      </w:r>
    </w:p>
    <w:p>
      <w:pPr>
        <w:spacing w:after="120" w:before="0"/>
        <w:jc w:val="left"/>
      </w:pPr>
      <w:r>
        <w:rPr>
          <w:rFonts w:ascii="Arial" w:cs="Arial" w:eastAsia="Arial" w:hAnsi="Arial"/>
          <w:color w:val="000000"/>
          <w:sz w:val="21"/>
          <w:szCs w:val="21"/>
        </w:rPr>
        <w:t xml:space="preserve">Required by AAC-DA-62. Define how the arbitration layer independently verifies agent confidence scores — it must not simply accept the agent's self-reported score.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Verification Method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e.g. arbitration layer recomputes confidence from raw inputs; or validates reported score against calibration model; or cross-references against benchmark dataset</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Tolerance Threshold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Maximum permitted deviation between reported confidence and independently computed confidence before action is treated as below-threshold</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Verification Failure Action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What happens if independent verification cannot be completed? (e.g. treat as below-threshold, escalate, fail safe)</w:t>
            </w:r>
          </w:p>
        </w:tc>
      </w:tr>
    </w:tbl>
    <w:p>
      <w:pPr>
        <w:spacing w:after="16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4.3 — Self-Monitoring KPIs</w:t>
      </w:r>
    </w:p>
    <w:p>
      <w:pPr>
        <w:spacing w:after="120" w:before="0"/>
        <w:jc w:val="left"/>
      </w:pPr>
      <w:r>
        <w:rPr>
          <w:rFonts w:ascii="Arial" w:cs="Arial" w:eastAsia="Arial" w:hAnsi="Arial"/>
          <w:color w:val="000000"/>
          <w:sz w:val="21"/>
          <w:szCs w:val="21"/>
        </w:rPr>
        <w:t xml:space="preserve">Required by AAC-AO-51. Define the KPIs each agent monitors, the thresholds that trigger automatic guardrail tightening, and the detection window.</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2000"/>
        <w:gridCol w:w="1800"/>
        <w:gridCol w:w="1760"/>
        <w:gridCol w:w="1800"/>
      </w:tblGrid>
      <w:tr>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Agent</w:t>
            </w:r>
          </w:p>
        </w:tc>
        <w:tc>
          <w:tcPr>
            <w:tcW w:type="dxa" w:w="2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KPI</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Degradation Threshold</w:t>
            </w:r>
          </w:p>
        </w:tc>
        <w:tc>
          <w:tcPr>
            <w:tcW w:type="dxa" w:w="17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Detection Window</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Automatic Response</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Accuracy rate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&lt; 85% ]</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rolling 24h ]</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Tighten threshold + alert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Override frequency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&gt; 20% ]</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rolling 1h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Reduce autonomy tier ]</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Resolution time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&gt; 2x baseline ]</w:t>
            </w:r>
          </w:p>
        </w:tc>
        <w:tc>
          <w:tcPr>
            <w:tcW w:type="dxa" w:w="1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rolling 30min ]</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Alert control plane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Add rows ]</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5 — Resource Boundaries</w:t>
      </w:r>
    </w:p>
    <w:p>
      <w:pPr>
        <w:spacing w:after="120" w:before="0"/>
        <w:jc w:val="left"/>
      </w:pPr>
      <w:r>
        <w:rPr>
          <w:rFonts w:ascii="Arial" w:cs="Arial" w:eastAsia="Arial" w:hAnsi="Arial"/>
          <w:i/>
          <w:iCs/>
          <w:color w:val="4A4A4A"/>
          <w:sz w:val="20"/>
          <w:szCs w:val="20"/>
        </w:rPr>
        <w:t xml:space="preserve">Required by: AAC-AO-58 (resource constraint and consumption governance).</w:t>
      </w:r>
    </w:p>
    <w:p>
      <w:pPr>
        <w:spacing w:after="160" w:before="0"/>
        <w:jc w:val="left"/>
      </w:pPr>
      <w:r>
        <w:rPr>
          <w:rFonts w:ascii="Arial" w:cs="Arial" w:eastAsia="Arial" w:hAnsi="Arial"/>
          <w:color w:val="000000"/>
          <w:sz w:val="21"/>
          <w:szCs w:val="21"/>
        </w:rPr>
        <w:t xml:space="preserve">Every agent deployment must declare its resource boundaries. These limits are governance constraints — exceeding them without authorization is a behavioral violation. Undeclared limits cannot be enforced.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Resource Type</w:t>
            </w:r>
          </w:p>
        </w:tc>
        <w:tc>
          <w:tcPr>
            <w:tcW w:type="dxa" w:w="69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Definition and Enforcement Rule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Compute Budget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Maximum compute units (tokens, CPU-seconds, GPU-time) per agent invocation and per rolling time window. Approaching 80% triggers degradation; exceeding 100% is a violation.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API Quota</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Maximum API calls per agent per time window (per external service). Quota exhaustion triggers circuit-breaker behavior under AAC-RS-36.</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Memory Limit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Maximum working memory per agent invocation. Exceeding triggers immediate termination and escalation.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Execution Time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Maximum wall-clock time per agent invocation. Timeout triggers safe fallback under AAC-DA-61.</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Recursion Depth</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Maximum depth for recursive or chained agent invocations. Exceeding is an immediate behavioral violation.</w:t>
            </w:r>
          </w:p>
        </w:tc>
      </w:tr>
    </w:tbl>
    <w:p>
      <w:pPr>
        <w:spacing w:after="16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5.1 — Agent Resource Registry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800"/>
        <w:gridCol w:w="1500"/>
        <w:gridCol w:w="1500"/>
        <w:gridCol w:w="1500"/>
        <w:gridCol w:w="1560"/>
        <w:gridCol w:w="1500"/>
      </w:tblGrid>
      <w:tr>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Agent</w:t>
            </w:r>
          </w:p>
        </w:tc>
        <w:tc>
          <w:tcPr>
            <w:tcW w:type="dxa" w:w="15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Compute Budget</w:t>
            </w:r>
          </w:p>
        </w:tc>
        <w:tc>
          <w:tcPr>
            <w:tcW w:type="dxa" w:w="15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API Quota</w:t>
            </w:r>
          </w:p>
        </w:tc>
        <w:tc>
          <w:tcPr>
            <w:tcW w:type="dxa" w:w="15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Memory Limit</w:t>
            </w:r>
          </w:p>
        </w:tc>
        <w:tc>
          <w:tcPr>
            <w:tcW w:type="dxa" w:w="15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Exec Time Limit</w:t>
            </w:r>
          </w:p>
        </w:tc>
        <w:tc>
          <w:tcPr>
            <w:tcW w:type="dxa" w:w="15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Max Recursion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depth ]</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Agent ]</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value ]</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depth ]</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Add rows ]</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r>
    </w:tbl>
    <w:p>
      <w:pPr>
        <w:spacing w:after="16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Degradation Trigger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At what percentage of each resource limit does automatic degradation activate? (AAC-AO-58 suggests 80% as a starting point — define per-system)</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Degradation Behavior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What does the agent do when approaching a resource limit? (e.g. reduce call frequency, restrict action scope, surface to control plane)</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Violation Response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What happens when a limit is exceeded without authorization? (e.g. immediate termination, integrity violation log, escalation)</w:t>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6 — System Safe Mode</w:t>
      </w:r>
    </w:p>
    <w:p>
      <w:pPr>
        <w:spacing w:after="120" w:before="0"/>
        <w:jc w:val="left"/>
      </w:pPr>
      <w:r>
        <w:rPr>
          <w:rFonts w:ascii="Arial" w:cs="Arial" w:eastAsia="Arial" w:hAnsi="Arial"/>
          <w:i/>
          <w:iCs/>
          <w:color w:val="4A4A4A"/>
          <w:sz w:val="20"/>
          <w:szCs w:val="20"/>
        </w:rPr>
        <w:t xml:space="preserve">Required by: AAC-RS-39 (system safe mode).</w:t>
      </w:r>
    </w:p>
    <w:p>
      <w:pPr>
        <w:spacing w:after="160" w:before="0"/>
        <w:jc w:val="left"/>
      </w:pPr>
      <w:r>
        <w:rPr>
          <w:rFonts w:ascii="Arial" w:cs="Arial" w:eastAsia="Arial" w:hAnsi="Arial"/>
          <w:color w:val="000000"/>
          <w:sz w:val="21"/>
          <w:szCs w:val="21"/>
        </w:rPr>
        <w:t xml:space="preserve">AAC-RS-39 requires that when system-wide health degrades below defined thresholds, the platform enters a constrained operating mode. This section defines the health metrics, trigger thresholds, constrained mode behavior, and recovery criteria for this deployment.</w:t>
      </w:r>
    </w:p>
    <w:p>
      <w:pPr>
        <w:pStyle w:val="Heading2"/>
        <w:spacing w:after="120" w:before="280"/>
      </w:pPr>
      <w:r>
        <w:rPr>
          <w:rFonts w:ascii="Arial" w:cs="Arial" w:eastAsia="Arial" w:hAnsi="Arial"/>
          <w:b/>
          <w:bCs/>
          <w:color w:val="2E5FA3"/>
          <w:sz w:val="26"/>
          <w:szCs w:val="26"/>
        </w:rPr>
        <w:t xml:space="preserve">6.1 — Health Metrics</w:t>
      </w:r>
    </w:p>
    <w:p>
      <w:pPr>
        <w:spacing w:after="120" w:before="0"/>
        <w:jc w:val="left"/>
      </w:pPr>
      <w:r>
        <w:rPr>
          <w:rFonts w:ascii="Arial" w:cs="Arial" w:eastAsia="Arial" w:hAnsi="Arial"/>
          <w:color w:val="000000"/>
          <w:sz w:val="21"/>
          <w:szCs w:val="21"/>
        </w:rPr>
        <w:t xml:space="preserve">Define the system-wide health signals monitored. These must be observable, measurable, and automatable.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2400"/>
        <w:gridCol w:w="2160"/>
        <w:gridCol w:w="2400"/>
      </w:tblGrid>
      <w:t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Health Metric</w:t>
            </w:r>
          </w:p>
        </w:tc>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Measurement Method</w:t>
            </w:r>
          </w:p>
        </w:tc>
        <w:tc>
          <w:tcPr>
            <w:tcW w:type="dxa" w:w="21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Safe Mode Trigger Threshold</w:t>
            </w:r>
          </w:p>
        </w:tc>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Recovery Threshold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System confidence score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Aggregate of agent confidence scores weighted by action volume</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&lt; 70% for 5 consecutive minutes ]</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&gt; 85% for 10 consecutive minutes ]</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Dependency health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Circuit breaker states across all external dependencies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&gt; 2 circuit breakers open simultaneously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All circuit breakers closed for 5 minutes ]</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Integrity signals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Policy enforcement integrity violations (AAC-OG-25)</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Any unresolved divergence &gt; 60 seconds ]</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Zero unresolved divergences for 10 minutes ]</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Add metrics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r>
    </w:tbl>
    <w:p>
      <w:pPr>
        <w:spacing w:after="16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6.2 — Safe Mode Behavior</w:t>
      </w:r>
    </w:p>
    <w:p>
      <w:pPr>
        <w:spacing w:after="120" w:before="0"/>
        <w:jc w:val="left"/>
      </w:pPr>
      <w:r>
        <w:rPr>
          <w:rFonts w:ascii="Arial" w:cs="Arial" w:eastAsia="Arial" w:hAnsi="Arial"/>
          <w:color w:val="000000"/>
          <w:sz w:val="21"/>
          <w:szCs w:val="21"/>
        </w:rPr>
        <w:t xml:space="preserve">Define precisely what the system does when safe mode is triggered. 'Constrained operating mode' must be specific enough to be tested.</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Actions Disabled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List the specific action types or agent capabilities disabled in safe mode (e.g. all Tier 1 harm-class actions, all financial transactions, all autonomous executions above advisory tier)</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Autonomy Reduction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Define how agent trust tiers are reduced in safe mode (e.g. all agents revert to Advisory tier; Autonomous agents revert to Conditional)</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Human Oversight Elevation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Define how human oversight changes in safe mode (e.g. all actions require human approval; control plane notified; on-call escalation triggered)</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User-Facing Behavior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What do users experience in safe mode? (e.g. read-only access, degraded recommendations, explicit message that the system is operating in a constrained mode)</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Safe Mode Duration Limit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Maximum time the system can remain in safe mode before triggering a higher-level escalation</w:t>
            </w:r>
          </w:p>
        </w:tc>
      </w:tr>
    </w:tbl>
    <w:p>
      <w:pPr>
        <w:spacing w:after="12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6.3 — Recovery Process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Automatic Recovery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Under what conditions does the system automatically exit safe mode? (link to recovery thresholds in 6.1)</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Manual Recovery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What is the process for manually exiting safe mode? Who can authorize it, and what evidence is required?</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Post-Recovery Review</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What review is required after exiting safe mode before resuming normal operations?</w:t>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7 — Policy Enforcement Integrity</w:t>
      </w:r>
    </w:p>
    <w:p>
      <w:pPr>
        <w:spacing w:after="120" w:before="0"/>
        <w:jc w:val="left"/>
      </w:pPr>
      <w:r>
        <w:rPr>
          <w:rFonts w:ascii="Arial" w:cs="Arial" w:eastAsia="Arial" w:hAnsi="Arial"/>
          <w:i/>
          <w:iCs/>
          <w:color w:val="4A4A4A"/>
          <w:sz w:val="20"/>
          <w:szCs w:val="20"/>
        </w:rPr>
        <w:t xml:space="preserve">Required by: AAC-OG-25 (policy enforcement integrity).</w:t>
      </w:r>
    </w:p>
    <w:p>
      <w:pPr>
        <w:spacing w:after="160" w:before="0"/>
        <w:jc w:val="left"/>
      </w:pPr>
      <w:r>
        <w:rPr>
          <w:rFonts w:ascii="Arial" w:cs="Arial" w:eastAsia="Arial" w:hAnsi="Arial"/>
          <w:color w:val="000000"/>
          <w:sz w:val="21"/>
          <w:szCs w:val="21"/>
        </w:rPr>
        <w:t xml:space="preserve">AAC-OG-25 requires continuous validation of runtime behavior against declared governance artifacts, with automatic response to divergence. This section defines what constitutes divergence, how it is detected, within what window, and what the automatic response is.</w:t>
      </w:r>
    </w:p>
    <w:p>
      <w:pPr>
        <w:pStyle w:val="Heading2"/>
        <w:spacing w:after="120" w:before="280"/>
      </w:pPr>
      <w:r>
        <w:rPr>
          <w:rFonts w:ascii="Arial" w:cs="Arial" w:eastAsia="Arial" w:hAnsi="Arial"/>
          <w:b/>
          <w:bCs/>
          <w:color w:val="2E5FA3"/>
          <w:sz w:val="26"/>
          <w:szCs w:val="26"/>
        </w:rPr>
        <w:t xml:space="preserve">7.1 — Divergence Definition</w:t>
      </w:r>
    </w:p>
    <w:p>
      <w:pPr>
        <w:spacing w:after="120" w:before="0"/>
        <w:jc w:val="left"/>
      </w:pPr>
      <w:r>
        <w:rPr>
          <w:rFonts w:ascii="Arial" w:cs="Arial" w:eastAsia="Arial" w:hAnsi="Arial"/>
          <w:color w:val="000000"/>
          <w:sz w:val="21"/>
          <w:szCs w:val="21"/>
        </w:rPr>
        <w:t xml:space="preserve">Define measurable divergence for this system. Divergence must be observable and automatable — if it cannot be detected by the system itself, it cannot satisfy AAC-OG-25.</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2400"/>
        <w:gridCol w:w="2160"/>
        <w:gridCol w:w="2400"/>
      </w:tblGrid>
      <w:t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Policy Domain</w:t>
            </w:r>
          </w:p>
        </w:tc>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Observable Divergence Signal</w:t>
            </w:r>
          </w:p>
        </w:tc>
        <w:tc>
          <w:tcPr>
            <w:tcW w:type="dxa" w:w="21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Detection Window</w:t>
            </w:r>
          </w:p>
        </w:tc>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Automatic Response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Trust tier enforcement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Agent executes action outside its declared tier scope</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Real-time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Terminate action, log integrity violation, escalate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Confidence 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Action proceeds with confidence below declared threshold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Real-time (per action)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Terminate action, log, trigger DA review</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Resource boundary</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Agent exceeds declared resource limit without authorization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Real-time (per invocation)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Terminate invocation, log violation, restrict agent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Governance artifact currency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Deployed behavior references a governance artifact not in current approved version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e.g. on each deployment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Block deployment, require artifact update ]</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Add divergence types ]</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4A4A4A"/>
                <w:sz w:val="19"/>
                <w:szCs w:val="19"/>
              </w:rPr>
              <w:t xml:space="preserve"/>
            </w:r>
          </w:p>
        </w:tc>
      </w:tr>
    </w:tbl>
    <w:p>
      <w:pPr>
        <w:spacing w:after="16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Divergence Log Format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Define the required fields in a divergence event log entry (e.g. timestamp, agent ID, policy ID, observed behavior, expected behavior, response taken)</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Undetected Divergence Risk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What is the process if a divergence cannot be automatically detected? (e.g. periodic manual audit cadence, compensating control)</w:t>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8 — Acceptance Criteria</w:t>
      </w:r>
    </w:p>
    <w:p>
      <w:pPr>
        <w:spacing w:after="160" w:before="0"/>
        <w:jc w:val="left"/>
      </w:pPr>
      <w:r>
        <w:rPr>
          <w:rFonts w:ascii="Arial" w:cs="Arial" w:eastAsia="Arial" w:hAnsi="Arial"/>
          <w:color w:val="000000"/>
          <w:sz w:val="21"/>
          <w:szCs w:val="21"/>
        </w:rPr>
        <w:t xml:space="preserve">This section defines how each profile section is verified in testing and audit. Acceptance criteria must be binary (pass/fail) or measurable (within defined tolerance). An AC that cannot be tested is not an AC.</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60"/>
        <w:gridCol w:w="9200"/>
      </w:tblGrid>
      <w:tr>
        <w:tc>
          <w:tcPr>
            <w:tcW w:type="dxa" w:w="160"/>
            <w:tcBorders>
              <w:top w:val="none" w:color="FFFFFF" w:sz="0"/>
              <w:left w:val="single" w:color="2E5FA3" w:sz="12"/>
              <w:bottom w:val="none" w:color="FFFFFF" w:sz="0"/>
              <w:right w:val="none" w:color="FFFFFF" w:sz="0"/>
            </w:tcBorders>
            <w:shd w:fill="D6E4F7" w:val="clear"/>
            <w:tcMar>
              <w:top w:type="dxa" w:w="80"/>
              <w:left w:type="dxa" w:w="100"/>
              <w:bottom w:type="dxa" w:w="80"/>
              <w:right w:type="dxa" w:w="60"/>
            </w:tcMar>
          </w:tcPr>
          <w:p>
            <w:pPr>
              <w:spacing w:after="100" w:before="0"/>
              <w:jc w:val="left"/>
            </w:pPr>
            <w:r>
              <w:rPr>
                <w:rFonts w:ascii="Arial" w:cs="Arial" w:eastAsia="Arial" w:hAnsi="Arial"/>
                <w:color w:val="000000"/>
                <w:sz w:val="20"/>
                <w:szCs w:val="20"/>
              </w:rPr>
              <w:t xml:space="preserve"/>
            </w:r>
          </w:p>
        </w:tc>
        <w:tc>
          <w:tcPr>
            <w:tcW w:type="dxa" w:w="9200"/>
            <w:tcBorders>
              <w:top w:val="none" w:color="FFFFFF" w:sz="0"/>
              <w:left w:val="none" w:color="FFFFFF" w:sz="0"/>
              <w:bottom w:val="single" w:color="CCCCCC" w:sz="1"/>
              <w:right w:val="none" w:color="FFFFFF" w:sz="0"/>
            </w:tcBorders>
            <w:shd w:fill="D6E4F7" w:val="clear"/>
            <w:tcMar>
              <w:top w:type="dxa" w:w="100"/>
              <w:left w:type="dxa" w:w="160"/>
              <w:bottom w:type="dxa" w:w="100"/>
              <w:right w:type="dxa" w:w="120"/>
            </w:tcMar>
          </w:tcPr>
          <w:p>
            <w:pPr>
              <w:spacing w:after="60" w:before="0"/>
              <w:jc w:val="left"/>
            </w:pPr>
            <w:r>
              <w:rPr>
                <w:rFonts w:ascii="Arial" w:cs="Arial" w:eastAsia="Arial" w:hAnsi="Arial"/>
                <w:b/>
                <w:bCs/>
                <w:color w:val="2E5FA3"/>
                <w:sz w:val="21"/>
                <w:szCs w:val="21"/>
              </w:rPr>
              <w:t xml:space="preserve">Instruction</w:t>
            </w:r>
          </w:p>
          <w:p>
            <w:pPr>
              <w:spacing w:after="80" w:before="0"/>
              <w:jc w:val="left"/>
            </w:pPr>
            <w:r>
              <w:rPr>
                <w:rFonts w:ascii="Arial" w:cs="Arial" w:eastAsia="Arial" w:hAnsi="Arial"/>
                <w:color w:val="4A4A4A"/>
                <w:sz w:val="21"/>
                <w:szCs w:val="21"/>
              </w:rPr>
              <w:t xml:space="preserve">For each row below, complete the Test Method column with a specific, executable test description. Acceptance criteria that cannot be assigned a test method must be flagged for manual audit with a defined cadence. Both automated tests and manual audits are valid — but 'we believe this is compliant' is not.</w:t>
            </w:r>
          </w:p>
        </w:tc>
      </w:tr>
    </w:tbl>
    <w:p>
      <w:pPr>
        <w:spacing w:after="12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400"/>
        <w:gridCol w:w="2200"/>
        <w:gridCol w:w="2960"/>
        <w:gridCol w:w="2800"/>
      </w:tblGrid>
      <w:tr>
        <w:tc>
          <w:tcPr>
            <w:tcW w:type="dxa" w:w="1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Control</w:t>
            </w:r>
          </w:p>
        </w:tc>
        <w:tc>
          <w:tcPr>
            <w:tcW w:type="dxa" w:w="22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Acceptance Criterion</w:t>
            </w:r>
          </w:p>
        </w:tc>
        <w:tc>
          <w:tcPr>
            <w:tcW w:type="dxa" w:w="29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Test Method</w:t>
            </w:r>
          </w:p>
        </w:tc>
        <w:tc>
          <w:tcPr>
            <w:tcW w:type="dxa" w:w="2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19"/>
                <w:szCs w:val="19"/>
              </w:rPr>
              <w:t xml:space="preserve">Automated / Manual / Cadence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AAC-DA-59</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Harm tier classification document exists and is versioned in governance registry before deployment</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Verify document exists in registry; verify version matches deployed system version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CI gate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AAC-AO-52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Every agent has a registered trust tier; no agent self-assigns; all tiers have signed governance approval</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Attempt self-assignment via API; verify rejection. Verify governance document exists for each registered agent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Manual — per deployment</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AAC-AO-53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Trust downgrade triggers within defined window of threshold breach; upgrade rejected without governance approval</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Artificially breach threshold; verify downgrade. Attempt upgrade without approval document; verify rejection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continuous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AAC-DP-07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Every automated decision produces an immutable log entry capturing reasoning chain, contributing agents, arbitration path, and confidence scores — not just the outcome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Sample decision logs; verify all required fields present; verify reasoning chain reconstructable from log alone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schema validation + Manual audit</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AAC-AI-10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No high-risk agent action executes below confidence threshold without escalation (v1.3: scoped to high-risk actions per DA-59 harm tier)</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Inject inputs producing sub-threshold confidence on high-risk actions; verify escalation fires, no execution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per agent, per release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AAC-DA-62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Displayed confidence score does not exceed internally computed score by more than declared tolerance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Compare displayed score against internal score across N sample decisions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sampling</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AAC-AO-58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No agent invocation exceeds declared resource limits; degradation triggers at declared threshold</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Run agent to resource limit; verify degradation at threshold; verify violation log on exceedance</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load test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AAC-RS-39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Safe mode triggers within defined window of threshold breach; defined actions are disabled in safe mode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Simulate health metric degradation below trigger; verify safe mode activates; verify disabled actions are blocked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staging</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AAC-OG-25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All defined divergence types produce logged events within detection window; automatic response executes</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Trigger each defined divergence type; verify log entry and response within window</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per divergence type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AAC-TS-17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System errors in defined error categories produce user-favorable resolution automatically</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Simulate each defined system error category; verify resolution outcome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Automated + Manual audit — per category</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8"/>
                <w:szCs w:val="18"/>
              </w:rPr>
              <w:t xml:space="preserve">AAC-AO-56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8"/>
                <w:szCs w:val="18"/>
              </w:rPr>
              <w:t xml:space="preserve">Feedback loop updates blocked without regression validation (AAC-TB-29) and bias review</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8"/>
                <w:szCs w:val="18"/>
              </w:rPr>
              <w:t xml:space="preserve">Attempt to deploy model update bypassing validation pipeline; verify rejection</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18"/>
                <w:szCs w:val="18"/>
              </w:rPr>
              <w:t xml:space="preserve">Automated — CI gate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 Add criteria ]</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val="false"/>
                <w:iCs w:val="false"/>
                <w:color w:val="000000"/>
                <w:sz w:val="18"/>
                <w:szCs w:val="18"/>
              </w:rPr>
              <w:t xml:space="preserve"/>
            </w:r>
          </w:p>
        </w:tc>
      </w:tr>
    </w:tbl>
    <w:p>
      <w:r>
        <w:br w:type="page"/>
      </w:r>
    </w:p>
    <w:p>
      <w:pPr>
        <w:pStyle w:val="Heading1"/>
        <w:pBdr>
          <w:bottom w:val="single" w:color="1B3A6B" w:sz="6" w:space="1"/>
        </w:pBdr>
        <w:spacing w:after="160" w:before="360"/>
      </w:pPr>
      <w:r>
        <w:rPr>
          <w:rFonts w:ascii="Arial" w:cs="Arial" w:eastAsia="Arial" w:hAnsi="Arial"/>
          <w:b/>
          <w:bCs/>
          <w:color w:val="1B3A6B"/>
          <w:sz w:val="32"/>
          <w:szCs w:val="32"/>
        </w:rPr>
        <w:t xml:space="preserve">Section 9 — Review &amp; Governance</w:t>
      </w:r>
    </w:p>
    <w:p>
      <w:pPr>
        <w:spacing w:after="120" w:before="0"/>
        <w:jc w:val="left"/>
      </w:pPr>
      <w:r>
        <w:rPr>
          <w:rFonts w:ascii="Arial" w:cs="Arial" w:eastAsia="Arial" w:hAnsi="Arial"/>
          <w:i/>
          <w:iCs/>
          <w:color w:val="4A4A4A"/>
          <w:sz w:val="20"/>
          <w:szCs w:val="20"/>
        </w:rPr>
        <w:t xml:space="preserve">Required by: AAC-OG-24 (governance artifacts as first-class components), AAC-AO-56 (governed feedback loop), AAC-TB-29 (regression guardrails).</w:t>
      </w:r>
    </w:p>
    <w:p>
      <w:pPr>
        <w:spacing w:after="160" w:before="0"/>
        <w:jc w:val="left"/>
      </w:pPr>
      <w:r>
        <w:rPr>
          <w:rFonts w:ascii="Arial" w:cs="Arial" w:eastAsia="Arial" w:hAnsi="Arial"/>
          <w:color w:val="000000"/>
          <w:sz w:val="21"/>
          <w:szCs w:val="21"/>
        </w:rPr>
        <w:t xml:space="preserve">This profile is a living governance artifact. It must be maintained with the same discipline as production code. This section defines the review process, change management, and the relationship between this profile and the agents it governs.</w:t>
      </w:r>
    </w:p>
    <w:p>
      <w:pPr>
        <w:pStyle w:val="Heading2"/>
        <w:spacing w:after="120" w:before="280"/>
      </w:pPr>
      <w:r>
        <w:rPr>
          <w:rFonts w:ascii="Arial" w:cs="Arial" w:eastAsia="Arial" w:hAnsi="Arial"/>
          <w:b/>
          <w:bCs/>
          <w:color w:val="2E5FA3"/>
          <w:sz w:val="26"/>
          <w:szCs w:val="26"/>
        </w:rPr>
        <w:t xml:space="preserve">9.1 — Change Management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Change Trigger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Under what conditions must this profile be updated? (e.g. any change to agent scope, trust tier, resource limits, or system behavior that affects a declared parameter)</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Change Process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Who reviews and approves profile changes? What is the approval chain?</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Version Control</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Where is this profile stored? What is the branching and tagging strategy?</w:t>
            </w:r>
          </w:p>
        </w:tc>
      </w:tr>
    </w:tbl>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bCs/>
                <w:color w:val="1B3A6B"/>
                <w:sz w:val="20"/>
                <w:szCs w:val="20"/>
              </w:rPr>
              <w:t xml:space="preserve">CI/CD Link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4A4A4A"/>
                <w:sz w:val="20"/>
                <w:szCs w:val="20"/>
              </w:rPr>
              <w:t xml:space="preserve">How is this profile linked to the system's CI/CD pipeline? What happens if the pipeline detects the profile is out of date?</w:t>
            </w:r>
          </w:p>
        </w:tc>
      </w:tr>
    </w:tbl>
    <w:p>
      <w:pPr>
        <w:spacing w:after="12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9.2 — Baseline Accuracy Registry</w:t>
      </w:r>
    </w:p>
    <w:p>
      <w:pPr>
        <w:spacing w:after="120" w:before="0"/>
        <w:jc w:val="left"/>
      </w:pPr>
      <w:r>
        <w:rPr>
          <w:rFonts w:ascii="Arial" w:cs="Arial" w:eastAsia="Arial" w:hAnsi="Arial"/>
          <w:color w:val="000000"/>
          <w:sz w:val="21"/>
          <w:szCs w:val="21"/>
        </w:rPr>
        <w:t xml:space="preserve">Required by AAC-TB-29. Define the baseline accuracy threshold for each agent before deployment. Subsequent model updates must meet or exceed these baselines.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000"/>
        <w:gridCol w:w="6360"/>
      </w:tblGrid>
      <w:tr>
        <w:tc>
          <w:tcPr>
            <w:tcW w:type="dxa" w:w="30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Agent</w:t>
            </w:r>
          </w:p>
        </w:tc>
        <w:tc>
          <w:tcPr>
            <w:tcW w:type="dxa" w:w="63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Baseline Accuracy Threshold and Measurement Method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val="false"/>
                <w:bCs w:val="false"/>
                <w:color w:val="000000"/>
                <w:sz w:val="20"/>
                <w:szCs w:val="20"/>
              </w:rPr>
              <w:t xml:space="preserve">[ Agent name ]</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20"/>
                <w:szCs w:val="20"/>
              </w:rPr>
              <w:t xml:space="preserve">[ Accuracy metric, threshold value, measurement dataset, last validated date ]</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b w:val="false"/>
                <w:bCs w:val="false"/>
                <w:color w:val="000000"/>
                <w:sz w:val="20"/>
                <w:szCs w:val="20"/>
              </w:rPr>
              <w:t xml:space="preserve">[ Agent name ]</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i/>
                <w:iCs/>
                <w:color w:val="000000"/>
                <w:sz w:val="20"/>
                <w:szCs w:val="20"/>
              </w:rPr>
              <w:t xml:space="preserve">[ Accuracy metric, threshold value, measurement dataset, last validated date ]</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b w:val="false"/>
                <w:bCs w:val="false"/>
                <w:color w:val="000000"/>
                <w:sz w:val="20"/>
                <w:szCs w:val="20"/>
              </w:rPr>
              <w:t xml:space="preserve">[ Add rows ]</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i/>
                <w:iCs/>
                <w:color w:val="000000"/>
                <w:sz w:val="20"/>
                <w:szCs w:val="20"/>
              </w:rPr>
              <w:t xml:space="preserve"/>
            </w:r>
          </w:p>
        </w:tc>
      </w:tr>
    </w:tbl>
    <w:p>
      <w:pPr>
        <w:spacing w:after="120" w:before="0"/>
        <w:jc w:val="left"/>
      </w:pPr>
      <w:r>
        <w:rPr>
          <w:rFonts w:ascii="Arial" w:cs="Arial" w:eastAsia="Arial" w:hAnsi="Arial"/>
          <w:color w:val="000000"/>
          <w:sz w:val="22"/>
          <w:szCs w:val="22"/>
        </w:rPr>
        <w:t xml:space="preserve"/>
      </w:r>
    </w:p>
    <w:p>
      <w:pPr>
        <w:pStyle w:val="Heading2"/>
        <w:spacing w:after="120" w:before="280"/>
      </w:pPr>
      <w:r>
        <w:rPr>
          <w:rFonts w:ascii="Arial" w:cs="Arial" w:eastAsia="Arial" w:hAnsi="Arial"/>
          <w:b/>
          <w:bCs/>
          <w:color w:val="2E5FA3"/>
          <w:sz w:val="26"/>
          <w:szCs w:val="26"/>
        </w:rPr>
        <w:t xml:space="preserve">9.3 — Profile Compliance Sign-Off</w:t>
      </w:r>
    </w:p>
    <w:p>
      <w:pPr>
        <w:spacing w:after="120" w:before="0"/>
        <w:jc w:val="left"/>
      </w:pPr>
      <w:r>
        <w:rPr>
          <w:rFonts w:ascii="Arial" w:cs="Arial" w:eastAsia="Arial" w:hAnsi="Arial"/>
          <w:color w:val="000000"/>
          <w:sz w:val="21"/>
          <w:szCs w:val="21"/>
        </w:rPr>
        <w:t xml:space="preserve">This profile must be reviewed and signed before the system is deployed. It must be re-signed after any material change.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3360"/>
        <w:gridCol w:w="1800"/>
        <w:gridCol w:w="1800"/>
      </w:tblGrid>
      <w:tr>
        <w:tc>
          <w:tcPr>
            <w:tcW w:type="dxa" w:w="24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Role</w:t>
            </w:r>
          </w:p>
        </w:tc>
        <w:tc>
          <w:tcPr>
            <w:tcW w:type="dxa" w:w="336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Name</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Date</w:t>
            </w:r>
          </w:p>
        </w:tc>
        <w:tc>
          <w:tcPr>
            <w:tcW w:type="dxa" w:w="1800"/>
            <w:tcBorders>
              <w:top w:val="single" w:color="1B3A6B" w:sz="1"/>
              <w:left w:val="single" w:color="1B3A6B" w:sz="1"/>
              <w:bottom w:val="single" w:color="1B3A6B" w:sz="1"/>
              <w:right w:val="single" w:color="1B3A6B" w:sz="1"/>
            </w:tcBorders>
            <w:shd w:fill="1B3A6B" w:val="clear"/>
            <w:tcMar>
              <w:top w:type="dxa" w:w="80"/>
              <w:left w:type="dxa" w:w="120"/>
              <w:bottom w:type="dxa" w:w="80"/>
              <w:right w:type="dxa" w:w="120"/>
            </w:tcMar>
          </w:tcPr>
          <w:p>
            <w:pPr>
              <w:spacing w:after="100" w:before="0"/>
              <w:jc w:val="left"/>
            </w:pPr>
            <w:r>
              <w:rPr>
                <w:rFonts w:ascii="Arial" w:cs="Arial" w:eastAsia="Arial" w:hAnsi="Arial"/>
                <w:b/>
                <w:bCs/>
                <w:color w:val="FFFFFF"/>
                <w:sz w:val="20"/>
                <w:szCs w:val="20"/>
              </w:rPr>
              <w:t xml:space="preserve">Signature / Approval Ref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Profile Owner</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Engineering Lead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Security / Governance Lead</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Product / Risk Owner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100" w:before="0"/>
              <w:jc w:val="left"/>
            </w:pPr>
            <w:r>
              <w:rPr>
                <w:rFonts w:ascii="Arial" w:cs="Arial" w:eastAsia="Arial" w:hAnsi="Arial"/>
                <w:color w:val="000000"/>
                <w:sz w:val="20"/>
                <w:szCs w:val="20"/>
              </w:rPr>
              <w:t xml:space="preserve"/>
            </w:r>
          </w:p>
        </w:tc>
      </w:tr>
    </w:tbl>
    <w:p>
      <w:pPr>
        <w:spacing w:after="160" w:before="0"/>
        <w:jc w:val="left"/>
      </w:pPr>
      <w:r>
        <w:rPr>
          <w:rFonts w:ascii="Arial" w:cs="Arial" w:eastAsia="Arial" w:hAnsi="Arial"/>
          <w:color w:val="000000"/>
          <w:sz w:val="22"/>
          <w:szCs w:val="22"/>
        </w:rP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60"/>
              <w:left w:type="dxa" w:w="200"/>
              <w:bottom w:type="dxa" w:w="160"/>
              <w:right w:type="dxa" w:w="200"/>
            </w:tcMar>
          </w:tcPr>
          <w:p>
            <w:pPr>
              <w:spacing w:after="80" w:before="0"/>
              <w:jc w:val="left"/>
            </w:pPr>
            <w:r>
              <w:rPr>
                <w:rFonts w:ascii="Arial" w:cs="Arial" w:eastAsia="Arial" w:hAnsi="Arial"/>
                <w:b/>
                <w:bCs/>
                <w:color w:val="1B3A6B"/>
                <w:sz w:val="21"/>
                <w:szCs w:val="21"/>
              </w:rPr>
              <w:t xml:space="preserve">Framework Reference</w:t>
            </w:r>
          </w:p>
          <w:p>
            <w:pPr>
              <w:spacing w:after="80" w:before="0"/>
              <w:jc w:val="left"/>
            </w:pPr>
            <w:r>
              <w:rPr>
                <w:rFonts w:ascii="Arial" w:cs="Arial" w:eastAsia="Arial" w:hAnsi="Arial"/>
                <w:color w:val="000000"/>
                <w:sz w:val="20"/>
                <w:szCs w:val="20"/>
              </w:rPr>
              <w:t xml:space="preserve">This Implementation Profile template is a companion document to the Autonomous Agentic Covenant (AAC) v1.3. The AAC is authored by Raj Thakuri and licensed under CC BY 4.0.</w:t>
            </w:r>
          </w:p>
          <w:p>
            <w:pPr>
              <w:spacing w:after="100" w:before="0"/>
              <w:jc w:val="left"/>
            </w:pPr>
            <w:r>
              <w:rPr>
                <w:rFonts w:ascii="Arial" w:cs="Arial" w:eastAsia="Arial" w:hAnsi="Arial"/>
                <w:i/>
                <w:iCs/>
                <w:color w:val="4A4A4A"/>
                <w:sz w:val="19"/>
                <w:szCs w:val="19"/>
              </w:rPr>
              <w:t xml:space="preserve">Thakuri, R. (2026). The Autonomous Agentic Covenant: A Governance Framework for Autonomous and AI-Driven Systems (Version 1.3). CC BY 4.0.</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A4A4A"/>
        <w:sz w:val="18"/>
        <w:szCs w:val="18"/>
      </w:rPr>
      <w:t xml:space="preserve">AAC Implementation Profile Template v1.0  ·  CC BY 4.0  ·  Raj Thakuri  ·  Page </w:t>
    </w:r>
    <w:r>
      <w:rPr>
        <w:rFonts w:ascii="Arial" w:cs="Arial" w:eastAsia="Arial" w:hAnsi="Arial"/>
        <w:color w:val="4A4A4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B3A6B"/>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2026-04-07T01:54:42.350Z</dcterms:created>
  <dcterms:modified xsi:type="dcterms:W3CDTF">2026-04-07T01:54:42.351Z</dcterms:modified>
</cp:coreProperties>
</file>

<file path=docProps/custom.xml><?xml version="1.0" encoding="utf-8"?>
<Properties xmlns="http://schemas.openxmlformats.org/officeDocument/2006/custom-properties" xmlns:vt="http://schemas.openxmlformats.org/officeDocument/2006/docPropsVTypes"/>
</file>