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237E"/>
          <w:sz w:val="52"/>
        </w:rPr>
        <w:t>Explainable Artificial Intelligence in</w:t>
        <w:br/>
        <w:t>Plant Disease Detection</w:t>
      </w:r>
    </w:p>
    <w:p/>
    <w:p>
      <w:pPr>
        <w:jc w:val="center"/>
      </w:pPr>
      <w:r>
        <w:rPr>
          <w:i/>
          <w:color w:val="505050"/>
          <w:sz w:val="28"/>
        </w:rPr>
        <w:t>A Multi-Layer XAI Framework Integrating Grad-CAM++,</w:t>
        <w:br/>
        <w:t>Hybrid Attention-Color Fusion, and Decision-Level Explainability</w:t>
        <w:br/>
        <w:t>for Agricultural Intelligence</w:t>
      </w:r>
    </w:p>
    <w:p/>
    <w:p>
      <w:pPr>
        <w:jc w:val="center"/>
      </w:pPr>
      <w:r>
        <w:rPr>
          <w:color w:val="787878"/>
          <w:sz w:val="22"/>
        </w:rPr>
        <w:t>AGRI-X AI -- Agricultural Intelligence Platform</w:t>
        <w:br/>
        <w:t>Report Generated: August 20, 2026</w:t>
        <w:br/>
      </w:r>
    </w:p>
    <w:p>
      <w:r>
        <w:br w:type="page"/>
      </w:r>
    </w:p>
    <w:p>
      <w:pPr>
        <w:pStyle w:val="Heading1"/>
      </w:pPr>
      <w:r>
        <w:t>Table of Contents</w:t>
      </w:r>
    </w:p>
    <w:p>
      <w:pPr>
        <w:spacing w:after="20"/>
      </w:pPr>
      <w:r>
        <w:rPr>
          <w:color w:val="1A237E"/>
          <w:sz w:val="20"/>
        </w:rPr>
        <w:t>1. Abstract</w:t>
      </w:r>
    </w:p>
    <w:p>
      <w:pPr>
        <w:spacing w:after="20"/>
      </w:pPr>
      <w:r>
        <w:rPr>
          <w:color w:val="1A237E"/>
          <w:sz w:val="20"/>
        </w:rPr>
        <w:t>2. Introduction</w:t>
      </w:r>
    </w:p>
    <w:p>
      <w:pPr>
        <w:spacing w:after="20"/>
      </w:pPr>
      <w:r>
        <w:rPr>
          <w:color w:val="1A237E"/>
          <w:sz w:val="20"/>
        </w:rPr>
        <w:t xml:space="preserve">   2.1 Problem Statement</w:t>
      </w:r>
    </w:p>
    <w:p>
      <w:pPr>
        <w:spacing w:after="20"/>
      </w:pPr>
      <w:r>
        <w:rPr>
          <w:color w:val="1A237E"/>
          <w:sz w:val="20"/>
        </w:rPr>
        <w:t xml:space="preserve">   2.2 Motivation for Explainability</w:t>
      </w:r>
    </w:p>
    <w:p>
      <w:pPr>
        <w:spacing w:after="20"/>
      </w:pPr>
      <w:r>
        <w:rPr>
          <w:color w:val="1A237E"/>
          <w:sz w:val="20"/>
        </w:rPr>
        <w:t xml:space="preserve">   2.3 Contributions</w:t>
      </w:r>
    </w:p>
    <w:p>
      <w:pPr>
        <w:spacing w:after="20"/>
      </w:pPr>
      <w:r>
        <w:rPr>
          <w:color w:val="1A237E"/>
          <w:sz w:val="20"/>
        </w:rPr>
        <w:t>3. Related Work</w:t>
      </w:r>
    </w:p>
    <w:p>
      <w:pPr>
        <w:spacing w:after="20"/>
      </w:pPr>
      <w:r>
        <w:rPr>
          <w:color w:val="1A237E"/>
          <w:sz w:val="20"/>
        </w:rPr>
        <w:t>4. System Architecture</w:t>
      </w:r>
    </w:p>
    <w:p>
      <w:pPr>
        <w:spacing w:after="20"/>
      </w:pPr>
      <w:r>
        <w:rPr>
          <w:color w:val="1A237E"/>
          <w:sz w:val="20"/>
        </w:rPr>
        <w:t xml:space="preserve">   4.1 Multi-Model Deep Learning Framework</w:t>
      </w:r>
    </w:p>
    <w:p>
      <w:pPr>
        <w:spacing w:after="20"/>
      </w:pPr>
      <w:r>
        <w:rPr>
          <w:color w:val="1A237E"/>
          <w:sz w:val="20"/>
        </w:rPr>
        <w:t xml:space="preserve">   4.2 Model Architectures and Grad-CAM Target Layers</w:t>
      </w:r>
    </w:p>
    <w:p>
      <w:pPr>
        <w:spacing w:after="20"/>
      </w:pPr>
      <w:r>
        <w:rPr>
          <w:color w:val="1A237E"/>
          <w:sz w:val="20"/>
        </w:rPr>
        <w:t xml:space="preserve">   4.3 Multi-Layer Explainability Architecture</w:t>
      </w:r>
    </w:p>
    <w:p>
      <w:pPr>
        <w:spacing w:after="20"/>
      </w:pPr>
      <w:r>
        <w:rPr>
          <w:color w:val="1A237E"/>
          <w:sz w:val="20"/>
        </w:rPr>
        <w:t>5. Methodology</w:t>
      </w:r>
    </w:p>
    <w:p>
      <w:pPr>
        <w:spacing w:after="20"/>
      </w:pPr>
      <w:r>
        <w:rPr>
          <w:color w:val="1A237E"/>
          <w:sz w:val="20"/>
        </w:rPr>
        <w:t xml:space="preserve">   5.1 Layer 1: Grad-CAM++ Visual Explainability</w:t>
      </w:r>
    </w:p>
    <w:p>
      <w:pPr>
        <w:spacing w:after="20"/>
      </w:pPr>
      <w:r>
        <w:rPr>
          <w:color w:val="1A237E"/>
          <w:sz w:val="20"/>
        </w:rPr>
        <w:t xml:space="preserve">   5.2 Layer 2: Leaf Segmentation and Spatial Masking</w:t>
      </w:r>
    </w:p>
    <w:p>
      <w:pPr>
        <w:spacing w:after="20"/>
      </w:pPr>
      <w:r>
        <w:rPr>
          <w:color w:val="1A237E"/>
          <w:sz w:val="20"/>
        </w:rPr>
        <w:t xml:space="preserve">   5.3 Layer 3: Hybrid Attention-Color Fusion</w:t>
      </w:r>
    </w:p>
    <w:p>
      <w:pPr>
        <w:spacing w:after="20"/>
      </w:pPr>
      <w:r>
        <w:rPr>
          <w:color w:val="1A237E"/>
          <w:sz w:val="20"/>
        </w:rPr>
        <w:t xml:space="preserve">   5.4 Layer 4: Multi-Region Infection Detection</w:t>
      </w:r>
    </w:p>
    <w:p>
      <w:pPr>
        <w:spacing w:after="20"/>
      </w:pPr>
      <w:r>
        <w:rPr>
          <w:color w:val="1A237E"/>
          <w:sz w:val="20"/>
        </w:rPr>
        <w:t xml:space="preserve">   5.5 Layer 5: Severity-Adaptive Colormap</w:t>
      </w:r>
    </w:p>
    <w:p>
      <w:pPr>
        <w:spacing w:after="20"/>
      </w:pPr>
      <w:r>
        <w:rPr>
          <w:color w:val="1A237E"/>
          <w:sz w:val="20"/>
        </w:rPr>
        <w:t xml:space="preserve">   5.6 Layer 6: Quantitative Severity Estimation</w:t>
      </w:r>
    </w:p>
    <w:p>
      <w:pPr>
        <w:spacing w:after="20"/>
      </w:pPr>
      <w:r>
        <w:rPr>
          <w:color w:val="1A237E"/>
          <w:sz w:val="20"/>
        </w:rPr>
        <w:t xml:space="preserve">   5.7 Layer 7: Weather-Aware Risk Decomposition</w:t>
      </w:r>
    </w:p>
    <w:p>
      <w:pPr>
        <w:spacing w:after="20"/>
      </w:pPr>
      <w:r>
        <w:rPr>
          <w:color w:val="1A237E"/>
          <w:sz w:val="20"/>
        </w:rPr>
        <w:t xml:space="preserve">   5.8 Layer 8: Actionable Treatment Explainability</w:t>
      </w:r>
    </w:p>
    <w:p>
      <w:pPr>
        <w:spacing w:after="20"/>
      </w:pPr>
      <w:r>
        <w:rPr>
          <w:color w:val="1A237E"/>
          <w:sz w:val="20"/>
        </w:rPr>
        <w:t xml:space="preserve">   5.9 Layer 9: Crop Suitability Score Transparency</w:t>
      </w:r>
    </w:p>
    <w:p>
      <w:pPr>
        <w:spacing w:after="20"/>
      </w:pPr>
      <w:r>
        <w:rPr>
          <w:color w:val="1A237E"/>
          <w:sz w:val="20"/>
        </w:rPr>
        <w:t>6. Implementation Details</w:t>
      </w:r>
    </w:p>
    <w:p>
      <w:pPr>
        <w:spacing w:after="20"/>
      </w:pPr>
      <w:r>
        <w:rPr>
          <w:color w:val="1A237E"/>
          <w:sz w:val="20"/>
        </w:rPr>
        <w:t>7. Model Performance and XAI Evaluation</w:t>
      </w:r>
    </w:p>
    <w:p>
      <w:pPr>
        <w:spacing w:after="20"/>
      </w:pPr>
      <w:r>
        <w:rPr>
          <w:color w:val="1A237E"/>
          <w:sz w:val="20"/>
        </w:rPr>
        <w:t>8. Discussion</w:t>
      </w:r>
    </w:p>
    <w:p>
      <w:pPr>
        <w:spacing w:after="20"/>
      </w:pPr>
      <w:r>
        <w:rPr>
          <w:color w:val="1A237E"/>
          <w:sz w:val="20"/>
        </w:rPr>
        <w:t>9. Conclusion</w:t>
      </w:r>
    </w:p>
    <w:p>
      <w:pPr>
        <w:spacing w:after="20"/>
      </w:pPr>
      <w:r>
        <w:rPr>
          <w:color w:val="1A237E"/>
          <w:sz w:val="20"/>
        </w:rPr>
        <w:t>10. References</w:t>
      </w:r>
    </w:p>
    <w:p>
      <w:r>
        <w:br w:type="page"/>
      </w:r>
    </w:p>
    <w:p>
      <w:pPr>
        <w:pStyle w:val="Heading1"/>
      </w:pPr>
      <w:r>
        <w:t>1. Abstract</w:t>
      </w:r>
    </w:p>
    <w:p>
      <w:pPr>
        <w:spacing w:after="120"/>
      </w:pPr>
      <w:r>
        <w:rPr>
          <w:b w:val="0"/>
          <w:i w:val="0"/>
          <w:sz w:val="21"/>
        </w:rPr>
        <w:t>Deep learning models have achieved remarkable accuracy in automated plant disease detection, yet their "black-box" nature poses a significant barrier to adoption by agricultural practitioners who require transparent, interpretable reasoning before acting on diagnostic recommendations. This paper presents a comprehensive multi-layer Explainable AI (XAI) framework integrated into AGRI-X AI, an agricultural intelligence platform employing four CNN architectures -- MobileNetV2, ResNet50, EfficientNetB0, and DenseNet121 -- for plant disease classification across 15 classes. Our framework introduces nine distinct explainability layers spanning from low-level model attention visualization (Grad-CAM++) through mid-level quantitative severity estimation to high-level decision transparency (weather-aware risk decomposition and treatment rationale). We propose a novel hybrid attention-color fusion method that overcomes the inherent spatial resolution limitation of Grad-CAM (7x7 feature maps) by combining model-derived attention signals with pixel-level color-based lesion detection, achieving precise multi-spot localization. The framework includes leaf segmentation-based spatial masking to eliminate false positive activations outside the leaf boundary. Experimental results demonstrate that our multi-model framework achieves accuracies ranging from 91.63% (MobileNetV2) to 99.50% (ResNet50) on the PlantVillage dataset, while the explainability layers provide actionable, human-interpretable diagnostic outputs suitable for field-level agricultural decision support.</w:t>
      </w:r>
    </w:p>
    <w:p>
      <w:pPr>
        <w:spacing w:after="120"/>
      </w:pPr>
      <w:r>
        <w:rPr>
          <w:b w:val="0"/>
          <w:i/>
          <w:sz w:val="20"/>
        </w:rPr>
        <w:t>Keywords: Explainable AI, Grad-CAM++, Plant Disease Detection, Transfer Learning, CNN Interpretability, Agricultural Intelligence, Attention Visualization, Multi-Region Localization, Decision Support Systems</w:t>
      </w:r>
    </w:p>
    <w:p>
      <w:r>
        <w:br w:type="page"/>
      </w:r>
    </w:p>
    <w:p>
      <w:pPr>
        <w:pStyle w:val="Heading1"/>
      </w:pPr>
      <w:r>
        <w:t>2. Introduction</w:t>
      </w:r>
    </w:p>
    <w:p>
      <w:pPr>
        <w:pStyle w:val="Heading2"/>
      </w:pPr>
      <w:r>
        <w:t>2.1 Problem Statement</w:t>
      </w:r>
    </w:p>
    <w:p>
      <w:pPr>
        <w:spacing w:after="120"/>
      </w:pPr>
      <w:r>
        <w:rPr>
          <w:b w:val="0"/>
          <w:i w:val="0"/>
          <w:sz w:val="21"/>
        </w:rPr>
        <w:t>Automated plant disease detection using deep learning has shown remarkable progress, with convolutional neural networks (CNNs) achieving over 95% accuracy on benchmark datasets such as PlantVillage [1]. However, a critical gap exists between model performance and real-world adoption: agricultural practitioners -- farmers, agronomists, and extension officers -- require not just a disease label, but a transparent explanation of why the system made its diagnosis, where on the leaf the disease is located, how severe the infection is, and what action should be taken. Without such explainability, the system functions as an opaque oracle, undermining trust and hindering adoption in safety-critical agricultural decisions.</w:t>
      </w:r>
    </w:p>
    <w:p>
      <w:pPr>
        <w:pStyle w:val="Heading2"/>
      </w:pPr>
      <w:r>
        <w:t>2.2 Motivation for Explainability</w:t>
      </w:r>
    </w:p>
    <w:p>
      <w:pPr>
        <w:spacing w:after="120"/>
      </w:pPr>
      <w:r>
        <w:rPr>
          <w:b w:val="0"/>
          <w:i w:val="0"/>
          <w:sz w:val="21"/>
        </w:rPr>
        <w:t>The need for explainability in agricultural AI systems is multi-faceted:</w:t>
      </w:r>
    </w:p>
    <w:p>
      <w:pPr>
        <w:pStyle w:val="ListBullet"/>
      </w:pPr>
      <w:r>
        <w:rPr>
          <w:b/>
          <w:sz w:val="21"/>
        </w:rPr>
        <w:t xml:space="preserve">Trust and Adoption: </w:t>
      </w:r>
      <w:r>
        <w:rPr>
          <w:sz w:val="21"/>
        </w:rPr>
        <w:t>Farmers are more likely to follow treatment recommendations when they can visually verify that the model is examining the correct regions of the leaf, rather than being misled by background artifacts.</w:t>
      </w:r>
    </w:p>
    <w:p>
      <w:pPr>
        <w:pStyle w:val="ListBullet"/>
      </w:pPr>
      <w:r>
        <w:rPr>
          <w:b/>
          <w:sz w:val="21"/>
        </w:rPr>
        <w:t xml:space="preserve">Error Detection: </w:t>
      </w:r>
      <w:r>
        <w:rPr>
          <w:sz w:val="21"/>
        </w:rPr>
        <w:t>When a model makes an incorrect prediction, explainability tools allow users and researchers to identify whether the error stems from attention to irrelevant features (e.g., background soil, pot edges) or genuine ambiguity between visually similar diseases.</w:t>
      </w:r>
    </w:p>
    <w:p>
      <w:pPr>
        <w:pStyle w:val="ListBullet"/>
      </w:pPr>
      <w:r>
        <w:rPr>
          <w:b/>
          <w:sz w:val="21"/>
        </w:rPr>
        <w:t xml:space="preserve">Severity Assessment: </w:t>
      </w:r>
      <w:r>
        <w:rPr>
          <w:sz w:val="21"/>
        </w:rPr>
        <w:t>A disease label alone is insufficient for treatment planning. Quantifying the spatial extent of infection (what percentage of the leaf is affected) and correlating it with environmental conditions enables graduated treatment responses.</w:t>
      </w:r>
    </w:p>
    <w:p>
      <w:pPr>
        <w:pStyle w:val="ListBullet"/>
      </w:pPr>
      <w:r>
        <w:rPr>
          <w:b/>
          <w:sz w:val="21"/>
        </w:rPr>
        <w:t xml:space="preserve">Regulatory and Research Requirements: </w:t>
      </w:r>
      <w:r>
        <w:rPr>
          <w:sz w:val="21"/>
        </w:rPr>
        <w:t>Agricultural advisory systems require audit trails. Explainable outputs provide documented reasoning that can be reviewed by domain experts and satisfy institutional requirements for transparency.</w:t>
      </w:r>
    </w:p>
    <w:p>
      <w:pPr>
        <w:pStyle w:val="ListBullet"/>
      </w:pPr>
      <w:r>
        <w:rPr>
          <w:b/>
          <w:sz w:val="21"/>
        </w:rPr>
        <w:t xml:space="preserve">Multi-Stakeholder Communication: </w:t>
      </w:r>
      <w:r>
        <w:rPr>
          <w:sz w:val="21"/>
        </w:rPr>
        <w:t>Visual heatmaps and decomposed scores create a shared language between AI systems, farmers, agronomists, and policymakers.</w:t>
      </w:r>
    </w:p>
    <w:p>
      <w:pPr>
        <w:pStyle w:val="Heading2"/>
      </w:pPr>
      <w:r>
        <w:t>2.3 Contributions</w:t>
      </w:r>
    </w:p>
    <w:p>
      <w:pPr>
        <w:spacing w:after="120"/>
      </w:pPr>
      <w:r>
        <w:rPr>
          <w:b w:val="0"/>
          <w:i w:val="0"/>
          <w:sz w:val="21"/>
        </w:rPr>
        <w:t>This work makes the following contributions:</w:t>
      </w:r>
    </w:p>
    <w:p>
      <w:pPr>
        <w:pStyle w:val="ListNumber"/>
      </w:pPr>
      <w:r>
        <w:t>A nine-layer XAI framework that provides explainability at the model level (attention visualization), feature level (region detection), decision level (risk decomposition), and action level (treatment rationale).</w:t>
      </w:r>
    </w:p>
    <w:p>
      <w:pPr>
        <w:pStyle w:val="ListNumber"/>
      </w:pPr>
      <w:r>
        <w:t>A novel hybrid attention-color fusion method that combines Grad-CAM++ model attention with pixel-level color-based lesion detection to achieve precise multi-spot disease localization, overcoming the 7x7 spatial resolution limitation of standard CNN feature maps.</w:t>
      </w:r>
    </w:p>
    <w:p>
      <w:pPr>
        <w:pStyle w:val="ListNumber"/>
      </w:pPr>
      <w:r>
        <w:t>A leaf segmentation-based spatial masking pipeline that eliminates false positive activations outside the leaf boundary, ensuring heatmaps are biologically meaningful.</w:t>
      </w:r>
    </w:p>
    <w:p>
      <w:pPr>
        <w:pStyle w:val="ListNumber"/>
      </w:pPr>
      <w:r>
        <w:t>A weather-aware risk decomposition engine that explains disease risk through transparent factor-by-factor scoring (humidity, temperature, rainfall) with natural language reasoning.</w:t>
      </w:r>
    </w:p>
    <w:p>
      <w:pPr>
        <w:pStyle w:val="ListNumber"/>
      </w:pPr>
      <w:r>
        <w:t>Integration of explainability into a complete agricultural decision support pipeline covering disease detection, severity estimation, treatment recommendation, crop advisory, and yield prediction.</w:t>
      </w:r>
    </w:p>
    <w:p>
      <w:r>
        <w:br w:type="page"/>
      </w:r>
    </w:p>
    <w:p>
      <w:pPr>
        <w:pStyle w:val="Heading1"/>
      </w:pPr>
      <w:r>
        <w:t>3. Related Work</w:t>
      </w:r>
    </w:p>
    <w:p>
      <w:pPr>
        <w:spacing w:after="120"/>
      </w:pPr>
      <w:r>
        <w:rPr>
          <w:b w:val="0"/>
          <w:i w:val="0"/>
          <w:sz w:val="21"/>
        </w:rPr>
        <w:t>Explainable AI for image classification has evolved through several key techniques. Selvaraju et al. [2] introduced Gradient-weighted Class Activation Mapping (Grad-CAM), which uses the gradients of the target class flowing into the final convolutional layer to produce a coarse localization map highlighting important regions. While effective for single-object localization, standard Grad-CAM exhibits a well-known limitation: it tends to highlight only the single most discriminative region, failing to capture multiple scattered activation areas.</w:t>
      </w:r>
    </w:p>
    <w:p>
      <w:pPr>
        <w:spacing w:after="120"/>
      </w:pPr>
      <w:r>
        <w:rPr>
          <w:b w:val="0"/>
          <w:i w:val="0"/>
          <w:sz w:val="21"/>
        </w:rPr>
        <w:t>Chattopadhyay et al. [3] proposed Grad-CAM++, which addresses this limitation through second-order gradient weighting. By using pixel-wise weighting of positive gradients rather than simple global average pooling, Grad-CAM++ preserves multiple distinct activation regions independently. This property is critical for plant disease detection, where multiple infection spots may be scattered across a leaf.</w:t>
      </w:r>
    </w:p>
    <w:p>
      <w:pPr>
        <w:spacing w:after="120"/>
      </w:pPr>
      <w:r>
        <w:rPr>
          <w:b w:val="0"/>
          <w:i w:val="0"/>
          <w:sz w:val="21"/>
        </w:rPr>
        <w:t>In plant pathology, several studies have applied Grad-CAM for disease explainability. Mohanty et al. [4] demonstrated CNN-based plant disease recognition using the PlantVillage dataset. Subsequent works by Too et al. [5] and Ferentinos [6] explored deeper architectures with basic Grad-CAM visualization. However, most existing approaches treat explainability as a post-hoc appendage rather than an integrated system component, and none address the specific challenges of (a) constraining heatmaps to the biological region of interest (the leaf), (b) detecting multiple disease spots at pixel resolution, or (c) integrating visual explainability with environmental context for decision-level transparency.</w:t>
      </w:r>
    </w:p>
    <w:p>
      <w:pPr>
        <w:spacing w:after="120"/>
      </w:pPr>
      <w:r>
        <w:rPr>
          <w:b w:val="0"/>
          <w:i w:val="0"/>
          <w:sz w:val="21"/>
        </w:rPr>
        <w:t>Our work differs from prior approaches in three key aspects: (1) we integrate explainability as a first-class component across the entire diagnostic pipeline rather than treating it as a visualization afterthought; (2) we propose a hybrid fusion method that supplements CNN attention with color-based lesion detection to achieve sub-feature-map spatial resolution; and (3) we extend explainability beyond the model level to encompass decision-level transparency through weather-aware risk decomposition and domain knowledge-based treatment rationale.</w:t>
      </w:r>
    </w:p>
    <w:p>
      <w:r>
        <w:br w:type="page"/>
      </w:r>
    </w:p>
    <w:p>
      <w:pPr>
        <w:pStyle w:val="Heading1"/>
      </w:pPr>
      <w:r>
        <w:t>4. System Architecture</w:t>
      </w:r>
    </w:p>
    <w:p>
      <w:pPr>
        <w:pStyle w:val="Heading2"/>
      </w:pPr>
      <w:r>
        <w:t>4.1 Multi-Model Deep Learning Framework</w:t>
      </w:r>
    </w:p>
    <w:p>
      <w:pPr>
        <w:spacing w:after="120"/>
      </w:pPr>
      <w:r>
        <w:rPr>
          <w:b w:val="0"/>
          <w:i w:val="0"/>
          <w:sz w:val="21"/>
        </w:rPr>
        <w:t>The AGRI-X AI platform employs four CNN architectures trained via transfer learning on the PlantVillage dataset [1] for 15-class plant disease classification covering 3 crop species (Bell Pepper, Potato, Tomato) with 12 disease conditions and 3 healthy classes. All models use ImageNet-pretrained backbones with custom classifier heads and architecture-specific preprocessing.</w:t>
      </w:r>
    </w:p>
    <w:p>
      <w:pPr>
        <w:spacing w:after="80"/>
        <w:jc w:val="center"/>
      </w:pPr>
      <w:r>
        <w:rPr>
          <w:b/>
          <w:i w:val="0"/>
          <w:sz w:val="20"/>
        </w:rPr>
        <w:t>Table 1: Model Architecture Specifications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A237E" w:val="clear"/>
          </w:tcPr>
          <w:p>
            <w:pPr>
              <w:jc w:val="center"/>
            </w:pPr>
            <w:r/>
            <w:r>
              <w:rPr>
                <w:b/>
                <w:color w:val="FFFFFF"/>
                <w:sz w:val="18"/>
              </w:rPr>
              <w:t>Architecture</w:t>
            </w:r>
          </w:p>
        </w:tc>
        <w:tc>
          <w:tcPr>
            <w:tcW w:type="dxa" w:w="1296"/>
            <w:shd w:fill="1A237E" w:val="clear"/>
          </w:tcPr>
          <w:p>
            <w:pPr>
              <w:jc w:val="center"/>
            </w:pPr>
            <w:r/>
            <w:r>
              <w:rPr>
                <w:b/>
                <w:color w:val="FFFFFF"/>
                <w:sz w:val="18"/>
              </w:rPr>
              <w:t>Feature Map</w:t>
            </w:r>
          </w:p>
        </w:tc>
        <w:tc>
          <w:tcPr>
            <w:tcW w:type="dxa" w:w="1296"/>
            <w:shd w:fill="1A237E" w:val="clear"/>
          </w:tcPr>
          <w:p>
            <w:pPr>
              <w:jc w:val="center"/>
            </w:pPr>
            <w:r/>
            <w:r>
              <w:rPr>
                <w:b/>
                <w:color w:val="FFFFFF"/>
                <w:sz w:val="18"/>
              </w:rPr>
              <w:t>Grad-CAM Layer</w:t>
            </w:r>
          </w:p>
        </w:tc>
        <w:tc>
          <w:tcPr>
            <w:tcW w:type="dxa" w:w="1296"/>
            <w:shd w:fill="1A237E" w:val="clear"/>
          </w:tcPr>
          <w:p>
            <w:pPr>
              <w:jc w:val="center"/>
            </w:pPr>
            <w:r/>
            <w:r>
              <w:rPr>
                <w:b/>
                <w:color w:val="FFFFFF"/>
                <w:sz w:val="18"/>
              </w:rPr>
              <w:t>Total Params</w:t>
            </w:r>
          </w:p>
        </w:tc>
        <w:tc>
          <w:tcPr>
            <w:tcW w:type="dxa" w:w="1296"/>
            <w:shd w:fill="1A237E" w:val="clear"/>
          </w:tcPr>
          <w:p>
            <w:pPr>
              <w:jc w:val="center"/>
            </w:pPr>
            <w:r/>
            <w:r>
              <w:rPr>
                <w:b/>
                <w:color w:val="FFFFFF"/>
                <w:sz w:val="18"/>
              </w:rPr>
              <w:t>Trainable Params</w:t>
            </w:r>
          </w:p>
        </w:tc>
        <w:tc>
          <w:tcPr>
            <w:tcW w:type="dxa" w:w="1296"/>
            <w:shd w:fill="1A237E" w:val="clear"/>
          </w:tcPr>
          <w:p>
            <w:pPr>
              <w:jc w:val="center"/>
            </w:pPr>
            <w:r/>
            <w:r>
              <w:rPr>
                <w:b/>
                <w:color w:val="FFFFFF"/>
                <w:sz w:val="18"/>
              </w:rPr>
              <w:t>Preprocessing</w:t>
            </w:r>
          </w:p>
        </w:tc>
        <w:tc>
          <w:tcPr>
            <w:tcW w:type="dxa" w:w="1296"/>
            <w:shd w:fill="1A237E" w:val="clear"/>
          </w:tcPr>
          <w:p>
            <w:pPr>
              <w:jc w:val="center"/>
            </w:pPr>
            <w:r/>
            <w:r>
              <w:rPr>
                <w:b/>
                <w:color w:val="FFFFFF"/>
                <w:sz w:val="18"/>
              </w:rPr>
              <w:t>Fine-Tune Layers</w:t>
            </w:r>
          </w:p>
        </w:tc>
      </w:tr>
      <w:tr>
        <w:tc>
          <w:tcPr>
            <w:tcW w:type="dxa" w:w="1296"/>
          </w:tcPr>
          <w:p>
            <w:r/>
            <w:r>
              <w:rPr>
                <w:sz w:val="17"/>
              </w:rPr>
              <w:t>MobileNetV2</w:t>
            </w:r>
          </w:p>
        </w:tc>
        <w:tc>
          <w:tcPr>
            <w:tcW w:type="dxa" w:w="1296"/>
          </w:tcPr>
          <w:p>
            <w:r/>
            <w:r>
              <w:rPr>
                <w:sz w:val="17"/>
              </w:rPr>
              <w:t>7x7x1280</w:t>
            </w:r>
          </w:p>
        </w:tc>
        <w:tc>
          <w:tcPr>
            <w:tcW w:type="dxa" w:w="1296"/>
          </w:tcPr>
          <w:p>
            <w:r/>
            <w:r>
              <w:rPr>
                <w:sz w:val="17"/>
              </w:rPr>
              <w:t>out_relu</w:t>
            </w:r>
          </w:p>
        </w:tc>
        <w:tc>
          <w:tcPr>
            <w:tcW w:type="dxa" w:w="1296"/>
          </w:tcPr>
          <w:p>
            <w:r/>
            <w:r>
              <w:rPr>
                <w:sz w:val="17"/>
              </w:rPr>
              <w:t>2,625,871</w:t>
            </w:r>
          </w:p>
        </w:tc>
        <w:tc>
          <w:tcPr>
            <w:tcW w:type="dxa" w:w="1296"/>
          </w:tcPr>
          <w:p>
            <w:r/>
            <w:r>
              <w:rPr>
                <w:sz w:val="17"/>
              </w:rPr>
              <w:t>2,220,431</w:t>
            </w:r>
          </w:p>
        </w:tc>
        <w:tc>
          <w:tcPr>
            <w:tcW w:type="dxa" w:w="1296"/>
          </w:tcPr>
          <w:p>
            <w:r/>
            <w:r>
              <w:rPr>
                <w:sz w:val="17"/>
              </w:rPr>
              <w:t>tf-style [-1,1]</w:t>
            </w:r>
          </w:p>
        </w:tc>
        <w:tc>
          <w:tcPr>
            <w:tcW w:type="dxa" w:w="1296"/>
          </w:tcPr>
          <w:p>
            <w:r/>
            <w:r>
              <w:rPr>
                <w:sz w:val="17"/>
              </w:rPr>
              <w:t>Last 50</w:t>
            </w:r>
          </w:p>
        </w:tc>
      </w:tr>
      <w:tr>
        <w:tc>
          <w:tcPr>
            <w:tcW w:type="dxa" w:w="1296"/>
            <w:shd w:fill="E8EAF6" w:val="clear"/>
          </w:tcPr>
          <w:p>
            <w:r/>
            <w:r>
              <w:rPr>
                <w:sz w:val="17"/>
              </w:rPr>
              <w:t>ResNet50</w:t>
            </w:r>
          </w:p>
        </w:tc>
        <w:tc>
          <w:tcPr>
            <w:tcW w:type="dxa" w:w="1296"/>
            <w:shd w:fill="E8EAF6" w:val="clear"/>
          </w:tcPr>
          <w:p>
            <w:r/>
            <w:r>
              <w:rPr>
                <w:sz w:val="17"/>
              </w:rPr>
              <w:t>7x7x2048</w:t>
            </w:r>
          </w:p>
        </w:tc>
        <w:tc>
          <w:tcPr>
            <w:tcW w:type="dxa" w:w="1296"/>
            <w:shd w:fill="E8EAF6" w:val="clear"/>
          </w:tcPr>
          <w:p>
            <w:r/>
            <w:r>
              <w:rPr>
                <w:sz w:val="17"/>
              </w:rPr>
              <w:t>conv5_block3_out</w:t>
            </w:r>
          </w:p>
        </w:tc>
        <w:tc>
          <w:tcPr>
            <w:tcW w:type="dxa" w:w="1296"/>
            <w:shd w:fill="E8EAF6" w:val="clear"/>
          </w:tcPr>
          <w:p>
            <w:r/>
            <w:r>
              <w:rPr>
                <w:sz w:val="17"/>
              </w:rPr>
              <w:t>24,780,175</w:t>
            </w:r>
          </w:p>
        </w:tc>
        <w:tc>
          <w:tcPr>
            <w:tcW w:type="dxa" w:w="1296"/>
            <w:shd w:fill="E8EAF6" w:val="clear"/>
          </w:tcPr>
          <w:p>
            <w:r/>
            <w:r>
              <w:rPr>
                <w:sz w:val="17"/>
              </w:rPr>
              <w:t>21,495,055</w:t>
            </w:r>
          </w:p>
        </w:tc>
        <w:tc>
          <w:tcPr>
            <w:tcW w:type="dxa" w:w="1296"/>
            <w:shd w:fill="E8EAF6" w:val="clear"/>
          </w:tcPr>
          <w:p>
            <w:r/>
            <w:r>
              <w:rPr>
                <w:sz w:val="17"/>
              </w:rPr>
              <w:t>caffe-style (BGR)</w:t>
            </w:r>
          </w:p>
        </w:tc>
        <w:tc>
          <w:tcPr>
            <w:tcW w:type="dxa" w:w="1296"/>
            <w:shd w:fill="E8EAF6" w:val="clear"/>
          </w:tcPr>
          <w:p>
            <w:r/>
            <w:r>
              <w:rPr>
                <w:sz w:val="17"/>
              </w:rPr>
              <w:t>Last 80</w:t>
            </w:r>
          </w:p>
        </w:tc>
      </w:tr>
      <w:tr>
        <w:tc>
          <w:tcPr>
            <w:tcW w:type="dxa" w:w="1296"/>
          </w:tcPr>
          <w:p>
            <w:r/>
            <w:r>
              <w:rPr>
                <w:sz w:val="17"/>
              </w:rPr>
              <w:t>EfficientNetB0</w:t>
            </w:r>
          </w:p>
        </w:tc>
        <w:tc>
          <w:tcPr>
            <w:tcW w:type="dxa" w:w="1296"/>
          </w:tcPr>
          <w:p>
            <w:r/>
            <w:r>
              <w:rPr>
                <w:sz w:val="17"/>
              </w:rPr>
              <w:t>7x7x1280</w:t>
            </w:r>
          </w:p>
        </w:tc>
        <w:tc>
          <w:tcPr>
            <w:tcW w:type="dxa" w:w="1296"/>
          </w:tcPr>
          <w:p>
            <w:r/>
            <w:r>
              <w:rPr>
                <w:sz w:val="17"/>
              </w:rPr>
              <w:t>top_activation</w:t>
            </w:r>
          </w:p>
        </w:tc>
        <w:tc>
          <w:tcPr>
            <w:tcW w:type="dxa" w:w="1296"/>
          </w:tcPr>
          <w:p>
            <w:r/>
            <w:r>
              <w:rPr>
                <w:sz w:val="17"/>
              </w:rPr>
              <w:t>4,386,482</w:t>
            </w:r>
          </w:p>
        </w:tc>
        <w:tc>
          <w:tcPr>
            <w:tcW w:type="dxa" w:w="1296"/>
          </w:tcPr>
          <w:p>
            <w:r/>
            <w:r>
              <w:rPr>
                <w:sz w:val="17"/>
              </w:rPr>
              <w:t>1,830,511</w:t>
            </w:r>
          </w:p>
        </w:tc>
        <w:tc>
          <w:tcPr>
            <w:tcW w:type="dxa" w:w="1296"/>
          </w:tcPr>
          <w:p>
            <w:r/>
            <w:r>
              <w:rPr>
                <w:sz w:val="17"/>
              </w:rPr>
              <w:t>torch-style (mean/std)</w:t>
            </w:r>
          </w:p>
        </w:tc>
        <w:tc>
          <w:tcPr>
            <w:tcW w:type="dxa" w:w="1296"/>
          </w:tcPr>
          <w:p>
            <w:r/>
            <w:r>
              <w:rPr>
                <w:sz w:val="17"/>
              </w:rPr>
              <w:t>Last 40</w:t>
            </w:r>
          </w:p>
        </w:tc>
      </w:tr>
      <w:tr>
        <w:tc>
          <w:tcPr>
            <w:tcW w:type="dxa" w:w="1296"/>
            <w:shd w:fill="E8EAF6" w:val="clear"/>
          </w:tcPr>
          <w:p>
            <w:r/>
            <w:r>
              <w:rPr>
                <w:sz w:val="17"/>
              </w:rPr>
              <w:t>DenseNet121</w:t>
            </w:r>
          </w:p>
        </w:tc>
        <w:tc>
          <w:tcPr>
            <w:tcW w:type="dxa" w:w="1296"/>
            <w:shd w:fill="E8EAF6" w:val="clear"/>
          </w:tcPr>
          <w:p>
            <w:r/>
            <w:r>
              <w:rPr>
                <w:sz w:val="17"/>
              </w:rPr>
              <w:t>7x7x1024</w:t>
            </w:r>
          </w:p>
        </w:tc>
        <w:tc>
          <w:tcPr>
            <w:tcW w:type="dxa" w:w="1296"/>
            <w:shd w:fill="E8EAF6" w:val="clear"/>
          </w:tcPr>
          <w:p>
            <w:r/>
            <w:r>
              <w:rPr>
                <w:sz w:val="17"/>
              </w:rPr>
              <w:t>relu</w:t>
            </w:r>
          </w:p>
        </w:tc>
        <w:tc>
          <w:tcPr>
            <w:tcW w:type="dxa" w:w="1296"/>
            <w:shd w:fill="E8EAF6" w:val="clear"/>
          </w:tcPr>
          <w:p>
            <w:r/>
            <w:r>
              <w:rPr>
                <w:sz w:val="17"/>
              </w:rPr>
              <w:t>7,338,831</w:t>
            </w:r>
          </w:p>
        </w:tc>
        <w:tc>
          <w:tcPr>
            <w:tcW w:type="dxa" w:w="1296"/>
            <w:shd w:fill="E8EAF6" w:val="clear"/>
          </w:tcPr>
          <w:p>
            <w:r/>
            <w:r>
              <w:rPr>
                <w:sz w:val="17"/>
              </w:rPr>
              <w:t>1,126,991</w:t>
            </w:r>
          </w:p>
        </w:tc>
        <w:tc>
          <w:tcPr>
            <w:tcW w:type="dxa" w:w="1296"/>
            <w:shd w:fill="E8EAF6" w:val="clear"/>
          </w:tcPr>
          <w:p>
            <w:r/>
            <w:r>
              <w:rPr>
                <w:sz w:val="17"/>
              </w:rPr>
              <w:t>torch-style (mean/std)</w:t>
            </w:r>
          </w:p>
        </w:tc>
        <w:tc>
          <w:tcPr>
            <w:tcW w:type="dxa" w:w="1296"/>
            <w:shd w:fill="E8EAF6" w:val="clear"/>
          </w:tcPr>
          <w:p>
            <w:r/>
            <w:r>
              <w:rPr>
                <w:sz w:val="17"/>
              </w:rPr>
              <w:t>Last 40</w:t>
            </w:r>
          </w:p>
        </w:tc>
      </w:tr>
    </w:tbl>
    <w:p/>
    <w:p>
      <w:pPr>
        <w:spacing w:after="120"/>
      </w:pPr>
      <w:r>
        <w:rPr>
          <w:b w:val="0"/>
          <w:i w:val="0"/>
          <w:sz w:val="21"/>
        </w:rPr>
        <w:t>Each model builder implements a get_last_conv_layer_name() method that returns the verified Grad-CAM target layer name, ensuring consistent explainability across architectures. The classifier head for all models follows a standardized structure: GlobalAveragePooling2D, BatchNormalization, Dense (256 or 512), Dropout (0.3), Dense (128 or 256), Dropout (0.3), and a softmax output layer.</w:t>
      </w:r>
    </w:p>
    <w:p>
      <w:pPr>
        <w:pStyle w:val="Heading2"/>
      </w:pPr>
      <w:r>
        <w:t>4.2 Model Architectures and Grad-CAM Target Layers</w:t>
      </w:r>
    </w:p>
    <w:p>
      <w:pPr>
        <w:spacing w:after="120"/>
      </w:pPr>
      <w:r>
        <w:rPr>
          <w:b w:val="0"/>
          <w:i w:val="0"/>
          <w:sz w:val="21"/>
        </w:rPr>
        <w:t>A critical implementation detail for Grad-CAM in transfer learning models is the handling of nested backbone architectures. When models are built using Keras Functional API with a pretrained backbone as a sub-model, the target convolutional layer resides inside the nested model, not at the top level. Our implementation handles this through a three-level layer search:</w:t>
      </w:r>
    </w:p>
    <w:p>
      <w:pPr>
        <w:pStyle w:val="ListBullet"/>
      </w:pPr>
      <w:r>
        <w:t>Level 1 (Top-level): Search model.layers directly for the named layer. This resolves flat architectures like MobileNetV2 where out_relu is a top-level layer.</w:t>
      </w:r>
    </w:p>
    <w:p>
      <w:pPr>
        <w:pStyle w:val="ListBullet"/>
      </w:pPr>
      <w:r>
        <w:t>Level 2 (Nested): For each layer that is itself a Model (the backbone), call backbone.get_layer(name). This resolves ResNet50 (conv5_block3_out), EfficientNetB0 (top_activation), and DenseNet121 (relu).</w:t>
      </w:r>
    </w:p>
    <w:p>
      <w:pPr>
        <w:pStyle w:val="ListBullet"/>
      </w:pPr>
      <w:r>
        <w:t>Level 3 (Fallback): If the named layer is not found, traverse layers in reverse order to find the last Conv2D layer in either the top model or any nested backbone.</w:t>
      </w:r>
    </w:p>
    <w:p>
      <w:pPr>
        <w:pStyle w:val="Heading2"/>
      </w:pPr>
      <w:r>
        <w:t>4.3 Multi-Layer Explainability Architecture</w:t>
      </w:r>
    </w:p>
    <w:p>
      <w:pPr>
        <w:spacing w:after="120"/>
      </w:pPr>
      <w:r>
        <w:rPr>
          <w:b w:val="0"/>
          <w:i w:val="0"/>
          <w:sz w:val="21"/>
        </w:rPr>
        <w:t>Our XAI framework is organized into nine distinct explainability layers, each addressing a different level of the interpretability hierarchy. These layers are not independent; they form a coherent pipeline where outputs from lower layers feed into higher-level explanations.</w:t>
      </w:r>
    </w:p>
    <w:p>
      <w:pPr>
        <w:spacing w:after="80"/>
        <w:jc w:val="center"/>
      </w:pPr>
      <w:r>
        <w:rPr>
          <w:b/>
          <w:i w:val="0"/>
          <w:sz w:val="20"/>
        </w:rPr>
        <w:t>Table 2: Nine-Layer Explainability Framework</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A237E" w:val="clear"/>
          </w:tcPr>
          <w:p>
            <w:pPr>
              <w:jc w:val="center"/>
            </w:pPr>
            <w:r/>
            <w:r>
              <w:rPr>
                <w:b/>
                <w:color w:val="FFFFFF"/>
                <w:sz w:val="18"/>
              </w:rPr>
              <w:t>Layer</w:t>
            </w:r>
          </w:p>
        </w:tc>
        <w:tc>
          <w:tcPr>
            <w:tcW w:type="dxa" w:w="1814"/>
            <w:shd w:fill="1A237E" w:val="clear"/>
          </w:tcPr>
          <w:p>
            <w:pPr>
              <w:jc w:val="center"/>
            </w:pPr>
            <w:r/>
            <w:r>
              <w:rPr>
                <w:b/>
                <w:color w:val="FFFFFF"/>
                <w:sz w:val="18"/>
              </w:rPr>
              <w:t>XAI Technique</w:t>
            </w:r>
          </w:p>
        </w:tc>
        <w:tc>
          <w:tcPr>
            <w:tcW w:type="dxa" w:w="1814"/>
            <w:shd w:fill="1A237E" w:val="clear"/>
          </w:tcPr>
          <w:p>
            <w:pPr>
              <w:jc w:val="center"/>
            </w:pPr>
            <w:r/>
            <w:r>
              <w:rPr>
                <w:b/>
                <w:color w:val="FFFFFF"/>
                <w:sz w:val="18"/>
              </w:rPr>
              <w:t>Level</w:t>
            </w:r>
          </w:p>
        </w:tc>
        <w:tc>
          <w:tcPr>
            <w:tcW w:type="dxa" w:w="1814"/>
            <w:shd w:fill="1A237E" w:val="clear"/>
          </w:tcPr>
          <w:p>
            <w:pPr>
              <w:jc w:val="center"/>
            </w:pPr>
            <w:r/>
            <w:r>
              <w:rPr>
                <w:b/>
                <w:color w:val="FFFFFF"/>
                <w:sz w:val="18"/>
              </w:rPr>
              <w:t>Output</w:t>
            </w:r>
          </w:p>
        </w:tc>
        <w:tc>
          <w:tcPr>
            <w:tcW w:type="dxa" w:w="1814"/>
            <w:shd w:fill="1A237E" w:val="clear"/>
          </w:tcPr>
          <w:p>
            <w:pPr>
              <w:jc w:val="center"/>
            </w:pPr>
            <w:r/>
            <w:r>
              <w:rPr>
                <w:b/>
                <w:color w:val="FFFFFF"/>
                <w:sz w:val="18"/>
              </w:rPr>
              <w:t>User Question Answered</w:t>
            </w:r>
          </w:p>
        </w:tc>
      </w:tr>
      <w:tr>
        <w:tc>
          <w:tcPr>
            <w:tcW w:type="dxa" w:w="1814"/>
          </w:tcPr>
          <w:p>
            <w:r/>
            <w:r>
              <w:rPr>
                <w:sz w:val="17"/>
              </w:rPr>
              <w:t>1</w:t>
            </w:r>
          </w:p>
        </w:tc>
        <w:tc>
          <w:tcPr>
            <w:tcW w:type="dxa" w:w="1814"/>
          </w:tcPr>
          <w:p>
            <w:r/>
            <w:r>
              <w:rPr>
                <w:sz w:val="17"/>
              </w:rPr>
              <w:t>Grad-CAM++</w:t>
            </w:r>
          </w:p>
        </w:tc>
        <w:tc>
          <w:tcPr>
            <w:tcW w:type="dxa" w:w="1814"/>
          </w:tcPr>
          <w:p>
            <w:r/>
            <w:r>
              <w:rPr>
                <w:sz w:val="17"/>
              </w:rPr>
              <w:t>Model</w:t>
            </w:r>
          </w:p>
        </w:tc>
        <w:tc>
          <w:tcPr>
            <w:tcW w:type="dxa" w:w="1814"/>
          </w:tcPr>
          <w:p>
            <w:r/>
            <w:r>
              <w:rPr>
                <w:sz w:val="17"/>
              </w:rPr>
              <w:t>7x7 attention heatmap</w:t>
            </w:r>
          </w:p>
        </w:tc>
        <w:tc>
          <w:tcPr>
            <w:tcW w:type="dxa" w:w="1814"/>
          </w:tcPr>
          <w:p>
            <w:r/>
            <w:r>
              <w:rPr>
                <w:sz w:val="17"/>
              </w:rPr>
              <w:t>Where is the model looking?</w:t>
            </w:r>
          </w:p>
        </w:tc>
      </w:tr>
      <w:tr>
        <w:tc>
          <w:tcPr>
            <w:tcW w:type="dxa" w:w="1814"/>
            <w:shd w:fill="E8EAF6" w:val="clear"/>
          </w:tcPr>
          <w:p>
            <w:r/>
            <w:r>
              <w:rPr>
                <w:sz w:val="17"/>
              </w:rPr>
              <w:t>2</w:t>
            </w:r>
          </w:p>
        </w:tc>
        <w:tc>
          <w:tcPr>
            <w:tcW w:type="dxa" w:w="1814"/>
            <w:shd w:fill="E8EAF6" w:val="clear"/>
          </w:tcPr>
          <w:p>
            <w:r/>
            <w:r>
              <w:rPr>
                <w:sz w:val="17"/>
              </w:rPr>
              <w:t>Leaf Segmentation</w:t>
            </w:r>
          </w:p>
        </w:tc>
        <w:tc>
          <w:tcPr>
            <w:tcW w:type="dxa" w:w="1814"/>
            <w:shd w:fill="E8EAF6" w:val="clear"/>
          </w:tcPr>
          <w:p>
            <w:r/>
            <w:r>
              <w:rPr>
                <w:sz w:val="17"/>
              </w:rPr>
              <w:t>Feature</w:t>
            </w:r>
          </w:p>
        </w:tc>
        <w:tc>
          <w:tcPr>
            <w:tcW w:type="dxa" w:w="1814"/>
            <w:shd w:fill="E8EAF6" w:val="clear"/>
          </w:tcPr>
          <w:p>
            <w:r/>
            <w:r>
              <w:rPr>
                <w:sz w:val="17"/>
              </w:rPr>
              <w:t>Binary leaf mask</w:t>
            </w:r>
          </w:p>
        </w:tc>
        <w:tc>
          <w:tcPr>
            <w:tcW w:type="dxa" w:w="1814"/>
            <w:shd w:fill="E8EAF6" w:val="clear"/>
          </w:tcPr>
          <w:p>
            <w:r/>
            <w:r>
              <w:rPr>
                <w:sz w:val="17"/>
              </w:rPr>
              <w:t>Is the attention on the leaf?</w:t>
            </w:r>
          </w:p>
        </w:tc>
      </w:tr>
      <w:tr>
        <w:tc>
          <w:tcPr>
            <w:tcW w:type="dxa" w:w="1814"/>
          </w:tcPr>
          <w:p>
            <w:r/>
            <w:r>
              <w:rPr>
                <w:sz w:val="17"/>
              </w:rPr>
              <w:t>3</w:t>
            </w:r>
          </w:p>
        </w:tc>
        <w:tc>
          <w:tcPr>
            <w:tcW w:type="dxa" w:w="1814"/>
          </w:tcPr>
          <w:p>
            <w:r/>
            <w:r>
              <w:rPr>
                <w:sz w:val="17"/>
              </w:rPr>
              <w:t>Attention-Color Fusion</w:t>
            </w:r>
          </w:p>
        </w:tc>
        <w:tc>
          <w:tcPr>
            <w:tcW w:type="dxa" w:w="1814"/>
          </w:tcPr>
          <w:p>
            <w:r/>
            <w:r>
              <w:rPr>
                <w:sz w:val="17"/>
              </w:rPr>
              <w:t>Feature</w:t>
            </w:r>
          </w:p>
        </w:tc>
        <w:tc>
          <w:tcPr>
            <w:tcW w:type="dxa" w:w="1814"/>
          </w:tcPr>
          <w:p>
            <w:r/>
            <w:r>
              <w:rPr>
                <w:sz w:val="17"/>
              </w:rPr>
              <w:t>Fused disease map</w:t>
            </w:r>
          </w:p>
        </w:tc>
        <w:tc>
          <w:tcPr>
            <w:tcW w:type="dxa" w:w="1814"/>
          </w:tcPr>
          <w:p>
            <w:r/>
            <w:r>
              <w:rPr>
                <w:sz w:val="17"/>
              </w:rPr>
              <w:t>Where exactly are the lesions?</w:t>
            </w:r>
          </w:p>
        </w:tc>
      </w:tr>
      <w:tr>
        <w:tc>
          <w:tcPr>
            <w:tcW w:type="dxa" w:w="1814"/>
            <w:shd w:fill="E8EAF6" w:val="clear"/>
          </w:tcPr>
          <w:p>
            <w:r/>
            <w:r>
              <w:rPr>
                <w:sz w:val="17"/>
              </w:rPr>
              <w:t>4</w:t>
            </w:r>
          </w:p>
        </w:tc>
        <w:tc>
          <w:tcPr>
            <w:tcW w:type="dxa" w:w="1814"/>
            <w:shd w:fill="E8EAF6" w:val="clear"/>
          </w:tcPr>
          <w:p>
            <w:r/>
            <w:r>
              <w:rPr>
                <w:sz w:val="17"/>
              </w:rPr>
              <w:t>Multi-Region Detection</w:t>
            </w:r>
          </w:p>
        </w:tc>
        <w:tc>
          <w:tcPr>
            <w:tcW w:type="dxa" w:w="1814"/>
            <w:shd w:fill="E8EAF6" w:val="clear"/>
          </w:tcPr>
          <w:p>
            <w:r/>
            <w:r>
              <w:rPr>
                <w:sz w:val="17"/>
              </w:rPr>
              <w:t>Feature</w:t>
            </w:r>
          </w:p>
        </w:tc>
        <w:tc>
          <w:tcPr>
            <w:tcW w:type="dxa" w:w="1814"/>
            <w:shd w:fill="E8EAF6" w:val="clear"/>
          </w:tcPr>
          <w:p>
            <w:r/>
            <w:r>
              <w:rPr>
                <w:sz w:val="17"/>
              </w:rPr>
              <w:t>Per-region statistics</w:t>
            </w:r>
          </w:p>
        </w:tc>
        <w:tc>
          <w:tcPr>
            <w:tcW w:type="dxa" w:w="1814"/>
            <w:shd w:fill="E8EAF6" w:val="clear"/>
          </w:tcPr>
          <w:p>
            <w:r/>
            <w:r>
              <w:rPr>
                <w:sz w:val="17"/>
              </w:rPr>
              <w:t>How many infected spots?</w:t>
            </w:r>
          </w:p>
        </w:tc>
      </w:tr>
      <w:tr>
        <w:tc>
          <w:tcPr>
            <w:tcW w:type="dxa" w:w="1814"/>
          </w:tcPr>
          <w:p>
            <w:r/>
            <w:r>
              <w:rPr>
                <w:sz w:val="17"/>
              </w:rPr>
              <w:t>5</w:t>
            </w:r>
          </w:p>
        </w:tc>
        <w:tc>
          <w:tcPr>
            <w:tcW w:type="dxa" w:w="1814"/>
          </w:tcPr>
          <w:p>
            <w:r/>
            <w:r>
              <w:rPr>
                <w:sz w:val="17"/>
              </w:rPr>
              <w:t>Severity Colormap</w:t>
            </w:r>
          </w:p>
        </w:tc>
        <w:tc>
          <w:tcPr>
            <w:tcW w:type="dxa" w:w="1814"/>
          </w:tcPr>
          <w:p>
            <w:r/>
            <w:r>
              <w:rPr>
                <w:sz w:val="17"/>
              </w:rPr>
              <w:t>Feature</w:t>
            </w:r>
          </w:p>
        </w:tc>
        <w:tc>
          <w:tcPr>
            <w:tcW w:type="dxa" w:w="1814"/>
          </w:tcPr>
          <w:p>
            <w:r/>
            <w:r>
              <w:rPr>
                <w:sz w:val="17"/>
              </w:rPr>
              <w:t>Green-yellow-red overlay</w:t>
            </w:r>
          </w:p>
        </w:tc>
        <w:tc>
          <w:tcPr>
            <w:tcW w:type="dxa" w:w="1814"/>
          </w:tcPr>
          <w:p>
            <w:r/>
            <w:r>
              <w:rPr>
                <w:sz w:val="17"/>
              </w:rPr>
              <w:t>How severe is each area?</w:t>
            </w:r>
          </w:p>
        </w:tc>
      </w:tr>
      <w:tr>
        <w:tc>
          <w:tcPr>
            <w:tcW w:type="dxa" w:w="1814"/>
            <w:shd w:fill="E8EAF6" w:val="clear"/>
          </w:tcPr>
          <w:p>
            <w:r/>
            <w:r>
              <w:rPr>
                <w:sz w:val="17"/>
              </w:rPr>
              <w:t>6</w:t>
            </w:r>
          </w:p>
        </w:tc>
        <w:tc>
          <w:tcPr>
            <w:tcW w:type="dxa" w:w="1814"/>
            <w:shd w:fill="E8EAF6" w:val="clear"/>
          </w:tcPr>
          <w:p>
            <w:r/>
            <w:r>
              <w:rPr>
                <w:sz w:val="17"/>
              </w:rPr>
              <w:t>Severity Estimation</w:t>
            </w:r>
          </w:p>
        </w:tc>
        <w:tc>
          <w:tcPr>
            <w:tcW w:type="dxa" w:w="1814"/>
            <w:shd w:fill="E8EAF6" w:val="clear"/>
          </w:tcPr>
          <w:p>
            <w:r/>
            <w:r>
              <w:rPr>
                <w:sz w:val="17"/>
              </w:rPr>
              <w:t>Decision</w:t>
            </w:r>
          </w:p>
        </w:tc>
        <w:tc>
          <w:tcPr>
            <w:tcW w:type="dxa" w:w="1814"/>
            <w:shd w:fill="E8EAF6" w:val="clear"/>
          </w:tcPr>
          <w:p>
            <w:r/>
            <w:r>
              <w:rPr>
                <w:sz w:val="17"/>
              </w:rPr>
              <w:t>Mild/Moderate/Severe</w:t>
            </w:r>
          </w:p>
        </w:tc>
        <w:tc>
          <w:tcPr>
            <w:tcW w:type="dxa" w:w="1814"/>
            <w:shd w:fill="E8EAF6" w:val="clear"/>
          </w:tcPr>
          <w:p>
            <w:r/>
            <w:r>
              <w:rPr>
                <w:sz w:val="17"/>
              </w:rPr>
              <w:t>How bad is the overall infection?</w:t>
            </w:r>
          </w:p>
        </w:tc>
      </w:tr>
      <w:tr>
        <w:tc>
          <w:tcPr>
            <w:tcW w:type="dxa" w:w="1814"/>
          </w:tcPr>
          <w:p>
            <w:r/>
            <w:r>
              <w:rPr>
                <w:sz w:val="17"/>
              </w:rPr>
              <w:t>7</w:t>
            </w:r>
          </w:p>
        </w:tc>
        <w:tc>
          <w:tcPr>
            <w:tcW w:type="dxa" w:w="1814"/>
          </w:tcPr>
          <w:p>
            <w:r/>
            <w:r>
              <w:rPr>
                <w:sz w:val="17"/>
              </w:rPr>
              <w:t>Risk Decomposition</w:t>
            </w:r>
          </w:p>
        </w:tc>
        <w:tc>
          <w:tcPr>
            <w:tcW w:type="dxa" w:w="1814"/>
          </w:tcPr>
          <w:p>
            <w:r/>
            <w:r>
              <w:rPr>
                <w:sz w:val="17"/>
              </w:rPr>
              <w:t>Decision</w:t>
            </w:r>
          </w:p>
        </w:tc>
        <w:tc>
          <w:tcPr>
            <w:tcW w:type="dxa" w:w="1814"/>
          </w:tcPr>
          <w:p>
            <w:r/>
            <w:r>
              <w:rPr>
                <w:sz w:val="17"/>
              </w:rPr>
              <w:t>Factor-by-factor scores</w:t>
            </w:r>
          </w:p>
        </w:tc>
        <w:tc>
          <w:tcPr>
            <w:tcW w:type="dxa" w:w="1814"/>
          </w:tcPr>
          <w:p>
            <w:r/>
            <w:r>
              <w:rPr>
                <w:sz w:val="17"/>
              </w:rPr>
              <w:t>Why is risk high/low now?</w:t>
            </w:r>
          </w:p>
        </w:tc>
      </w:tr>
      <w:tr>
        <w:tc>
          <w:tcPr>
            <w:tcW w:type="dxa" w:w="1814"/>
            <w:shd w:fill="E8EAF6" w:val="clear"/>
          </w:tcPr>
          <w:p>
            <w:r/>
            <w:r>
              <w:rPr>
                <w:sz w:val="17"/>
              </w:rPr>
              <w:t>8</w:t>
            </w:r>
          </w:p>
        </w:tc>
        <w:tc>
          <w:tcPr>
            <w:tcW w:type="dxa" w:w="1814"/>
            <w:shd w:fill="E8EAF6" w:val="clear"/>
          </w:tcPr>
          <w:p>
            <w:r/>
            <w:r>
              <w:rPr>
                <w:sz w:val="17"/>
              </w:rPr>
              <w:t>Treatment Rationale</w:t>
            </w:r>
          </w:p>
        </w:tc>
        <w:tc>
          <w:tcPr>
            <w:tcW w:type="dxa" w:w="1814"/>
            <w:shd w:fill="E8EAF6" w:val="clear"/>
          </w:tcPr>
          <w:p>
            <w:r/>
            <w:r>
              <w:rPr>
                <w:sz w:val="17"/>
              </w:rPr>
              <w:t>Action</w:t>
            </w:r>
          </w:p>
        </w:tc>
        <w:tc>
          <w:tcPr>
            <w:tcW w:type="dxa" w:w="1814"/>
            <w:shd w:fill="E8EAF6" w:val="clear"/>
          </w:tcPr>
          <w:p>
            <w:r/>
            <w:r>
              <w:rPr>
                <w:sz w:val="17"/>
              </w:rPr>
              <w:t>Domain knowledge cards</w:t>
            </w:r>
          </w:p>
        </w:tc>
        <w:tc>
          <w:tcPr>
            <w:tcW w:type="dxa" w:w="1814"/>
            <w:shd w:fill="E8EAF6" w:val="clear"/>
          </w:tcPr>
          <w:p>
            <w:r/>
            <w:r>
              <w:rPr>
                <w:sz w:val="17"/>
              </w:rPr>
              <w:t>What should I do and why?</w:t>
            </w:r>
          </w:p>
        </w:tc>
      </w:tr>
      <w:tr>
        <w:tc>
          <w:tcPr>
            <w:tcW w:type="dxa" w:w="1814"/>
          </w:tcPr>
          <w:p>
            <w:r/>
            <w:r>
              <w:rPr>
                <w:sz w:val="17"/>
              </w:rPr>
              <w:t>9</w:t>
            </w:r>
          </w:p>
        </w:tc>
        <w:tc>
          <w:tcPr>
            <w:tcW w:type="dxa" w:w="1814"/>
          </w:tcPr>
          <w:p>
            <w:r/>
            <w:r>
              <w:rPr>
                <w:sz w:val="17"/>
              </w:rPr>
              <w:t>Score Transparency</w:t>
            </w:r>
          </w:p>
        </w:tc>
        <w:tc>
          <w:tcPr>
            <w:tcW w:type="dxa" w:w="1814"/>
          </w:tcPr>
          <w:p>
            <w:r/>
            <w:r>
              <w:rPr>
                <w:sz w:val="17"/>
              </w:rPr>
              <w:t>Action</w:t>
            </w:r>
          </w:p>
        </w:tc>
        <w:tc>
          <w:tcPr>
            <w:tcW w:type="dxa" w:w="1814"/>
          </w:tcPr>
          <w:p>
            <w:r/>
            <w:r>
              <w:rPr>
                <w:sz w:val="17"/>
              </w:rPr>
              <w:t>Decomposed suitability</w:t>
            </w:r>
          </w:p>
        </w:tc>
        <w:tc>
          <w:tcPr>
            <w:tcW w:type="dxa" w:w="1814"/>
          </w:tcPr>
          <w:p>
            <w:r/>
            <w:r>
              <w:rPr>
                <w:sz w:val="17"/>
              </w:rPr>
              <w:t>Why was this crop recommended?</w:t>
            </w:r>
          </w:p>
        </w:tc>
      </w:tr>
    </w:tbl>
    <w:p>
      <w:r>
        <w:br w:type="page"/>
      </w:r>
    </w:p>
    <w:p>
      <w:pPr>
        <w:pStyle w:val="Heading1"/>
      </w:pPr>
      <w:r>
        <w:t>5. Methodology</w:t>
      </w:r>
    </w:p>
    <w:p>
      <w:pPr>
        <w:pStyle w:val="Heading2"/>
      </w:pPr>
      <w:r>
        <w:t>5.1 Layer 1: Grad-CAM++ Visual Explainability</w:t>
      </w:r>
    </w:p>
    <w:p>
      <w:pPr>
        <w:spacing w:after="120"/>
      </w:pPr>
      <w:r>
        <w:rPr>
          <w:b w:val="0"/>
          <w:i w:val="0"/>
          <w:sz w:val="21"/>
        </w:rPr>
        <w:t>Our primary visual explainability mechanism is Grad-CAM++ [3], which produces a class-discriminative localization map highlighting the regions of the input image that are most relevant to the predicted class. Unlike standard Grad-CAM [2] which uses global average pooling of gradients (biasing toward the single largest activation region), Grad-CAM++ employs second-order gradient weighting that preserves multiple distinct activation regions independently.</w:t>
      </w:r>
    </w:p>
    <w:p>
      <w:pPr>
        <w:spacing w:after="120"/>
      </w:pPr>
      <w:r>
        <w:rPr>
          <w:b/>
          <w:i w:val="0"/>
          <w:sz w:val="21"/>
        </w:rPr>
        <w:t>Mathematical Formulation:</w:t>
      </w:r>
    </w:p>
    <w:p>
      <w:pPr>
        <w:spacing w:after="120"/>
      </w:pPr>
      <w:r>
        <w:rPr>
          <w:b w:val="0"/>
          <w:i w:val="0"/>
          <w:sz w:val="21"/>
        </w:rPr>
        <w:t>For a given input image and predicted class c, let A(k) denote the activation map of the k-th filter in the target convolutional layer, and y(c) denote the pre-softmax logit for class c. The Grad-CAM++ weight for filter k is computed as:</w:t>
      </w:r>
    </w:p>
    <w:p>
      <w:pPr>
        <w:spacing w:before="120" w:after="120"/>
        <w:jc w:val="center"/>
      </w:pPr>
      <w:r>
        <w:rPr>
          <w:i/>
          <w:sz w:val="22"/>
        </w:rPr>
        <w:t>alpha(k,ij) = (partial^2 y(c) / partial A(k,ij)^2) / (2 * partial^2 y(c)/partial A(k,ij)^2 + sum_ab[A(k,ab) * partial^3 y(c)/partial A(k,ij)^3])</w:t>
      </w:r>
      <w:r>
        <w:rPr>
          <w:sz w:val="20"/>
        </w:rPr>
        <w:t xml:space="preserve">    (1)</w:t>
      </w:r>
    </w:p>
    <w:p>
      <w:pPr>
        <w:spacing w:before="120" w:after="120"/>
        <w:jc w:val="center"/>
      </w:pPr>
      <w:r>
        <w:rPr>
          <w:i/>
          <w:sz w:val="22"/>
        </w:rPr>
        <w:t>w(k) = sum_ij [ alpha(k,ij) * ReLU(partial y(c) / partial A(k,ij)) ]</w:t>
      </w:r>
      <w:r>
        <w:rPr>
          <w:sz w:val="20"/>
        </w:rPr>
        <w:t xml:space="preserve">    (2)</w:t>
      </w:r>
    </w:p>
    <w:p>
      <w:pPr>
        <w:spacing w:before="120" w:after="120"/>
        <w:jc w:val="center"/>
      </w:pPr>
      <w:r>
        <w:rPr>
          <w:i/>
          <w:sz w:val="22"/>
        </w:rPr>
        <w:t>L(Grad-CAM++) = ReLU( sum_k [ w(k) * A(k) ] )</w:t>
      </w:r>
      <w:r>
        <w:rPr>
          <w:sz w:val="20"/>
        </w:rPr>
        <w:t xml:space="preserve">    (3)</w:t>
      </w:r>
    </w:p>
    <w:p>
      <w:pPr>
        <w:spacing w:after="120"/>
      </w:pPr>
      <w:r>
        <w:rPr>
          <w:b w:val="0"/>
          <w:i w:val="0"/>
          <w:sz w:val="21"/>
        </w:rPr>
        <w:t>In our implementation, we compute gradients with respect to the pre-softmax logits rather than post-softmax probabilities. This is critical because softmax introduces inter-class competition that can suppress gradients for high-confidence predictions, leading to weak or vanishing heatmaps. By operating on raw logits, we ensure robust gradient signal regardless of confidence level.</w:t>
      </w:r>
    </w:p>
    <w:p>
      <w:pPr>
        <w:spacing w:after="120"/>
      </w:pPr>
      <w:r>
        <w:rPr>
          <w:b w:val="0"/>
          <w:i w:val="0"/>
          <w:sz w:val="21"/>
        </w:rPr>
        <w:t>The resulting 7x7 heatmap is upscaled to 224x224 using LANCZOS interpolation (preserving edge sharpness) followed by a minimal Gaussian blur (sigma=0.8) to remove block artifacts while preserving multi-spot separation. The heatmap is then normalized to [0, 1] range.</w:t>
      </w:r>
    </w:p>
    <w:p>
      <w:pPr>
        <w:pStyle w:val="Heading2"/>
      </w:pPr>
      <w:r>
        <w:t>5.2 Layer 2: Leaf Segmentation and Spatial Masking</w:t>
      </w:r>
    </w:p>
    <w:p>
      <w:pPr>
        <w:spacing w:after="120"/>
      </w:pPr>
      <w:r>
        <w:rPr>
          <w:b w:val="0"/>
          <w:i w:val="0"/>
          <w:sz w:val="21"/>
        </w:rPr>
        <w:t>A critical observation in plant disease detection is that Grad-CAM heatmaps frequently extend beyond the leaf boundary, highlighting background elements (soil, pot edges, label markers) that may correlate with certain disease classes in the training data. To address this, we implement an automatic leaf segmentation pipeline that produces a soft binary mask constraining the heatmap strictly to the leaf tissue.</w:t>
      </w:r>
    </w:p>
    <w:p>
      <w:pPr>
        <w:spacing w:after="120"/>
      </w:pPr>
      <w:r>
        <w:rPr>
          <w:b/>
          <w:i w:val="0"/>
          <w:sz w:val="21"/>
        </w:rPr>
        <w:t>The segmentation pipeline operates in four stages:</w:t>
      </w:r>
    </w:p>
    <w:p>
      <w:pPr>
        <w:spacing w:after="80"/>
      </w:pPr>
      <w:r>
        <w:rPr>
          <w:b/>
          <w:sz w:val="21"/>
        </w:rPr>
        <w:t xml:space="preserve">Multi-Channel Color Analysis: </w:t>
      </w:r>
      <w:r>
        <w:rPr>
          <w:sz w:val="21"/>
        </w:rPr>
        <w:t>The input image is converted to both HSV and LAB color spaces. Four HSV range masks capture different tissue types: green foliage (H:20-90), yellow-green senescent tissue (H:12-25), brown necrotic tissue (H:5-20), and dark lesions (V:15-120). A LAB-based mask (L:10-220) excludes white/bright backgrounds.</w:t>
      </w:r>
    </w:p>
    <w:p>
      <w:pPr>
        <w:spacing w:after="80"/>
      </w:pPr>
      <w:r>
        <w:rPr>
          <w:b/>
          <w:sz w:val="21"/>
        </w:rPr>
        <w:t xml:space="preserve">Morphological Refinement: </w:t>
      </w:r>
      <w:r>
        <w:rPr>
          <w:sz w:val="21"/>
        </w:rPr>
        <w:t>The combined mask undergoes morphological closing (21x21 elliptical kernel) to fill gaps within the leaf, followed by opening (7x7 kernel) to remove small noise outside the leaf boundary.</w:t>
      </w:r>
    </w:p>
    <w:p>
      <w:pPr>
        <w:spacing w:after="80"/>
      </w:pPr>
      <w:r>
        <w:rPr>
          <w:b/>
          <w:sz w:val="21"/>
        </w:rPr>
        <w:t xml:space="preserve">Connected Component Filtering: </w:t>
      </w:r>
      <w:r>
        <w:rPr>
          <w:sz w:val="21"/>
        </w:rPr>
        <w:t>Contour extraction with area-based filtering retains only regions exceeding 1% of the total image area, eliminating small artifacts. Flood fill from image corners closes internal holes.</w:t>
      </w:r>
    </w:p>
    <w:p>
      <w:pPr>
        <w:spacing w:after="80"/>
      </w:pPr>
      <w:r>
        <w:rPr>
          <w:b/>
          <w:sz w:val="21"/>
        </w:rPr>
        <w:t xml:space="preserve">Soft Mask Generation: </w:t>
      </w:r>
      <w:r>
        <w:rPr>
          <w:sz w:val="21"/>
        </w:rPr>
        <w:t>The binary mask is converted to float [0, 1] and Gaussian-blurred (sigma proportional to image size) to create smooth edges. This prevents hard cutoff artifacts in the overlay and allows gradual fading at the leaf boundary.</w:t>
      </w:r>
    </w:p>
    <w:p>
      <w:pPr>
        <w:spacing w:after="120"/>
      </w:pPr>
      <w:r>
        <w:rPr>
          <w:b w:val="0"/>
          <w:i w:val="0"/>
          <w:sz w:val="21"/>
        </w:rPr>
        <w:t>The final heatmap is element-wise multiplied by the leaf mask: H_masked = H_raw * M_leaf, ensuring zero activation outside the leaf. The masked heatmap is then re-normalized so the maximum activation within the leaf equals 1.0, preserving relative intensity relationships.</w:t>
      </w:r>
    </w:p>
    <w:p>
      <w:pPr>
        <w:pStyle w:val="Heading2"/>
      </w:pPr>
      <w:r>
        <w:t>5.3 Layer 3: Hybrid Attention-Color Fusion</w:t>
      </w:r>
    </w:p>
    <w:p>
      <w:pPr>
        <w:spacing w:after="120"/>
      </w:pPr>
      <w:r>
        <w:rPr>
          <w:b w:val="0"/>
          <w:i w:val="0"/>
          <w:sz w:val="21"/>
        </w:rPr>
        <w:t>A fundamental limitation of Grad-CAM-based approaches is the spatial resolution of the target convolutional layer. All four model architectures in our framework produce 7x7 feature maps at the target layer, meaning each spatial cell in the Grad-CAM output corresponds to approximately 32x32 pixels in the input image. When multiple disease spots are located within the same 32x32 cell or adjacent cells, they merge into a single activation blob, making it impossible to distinguish them.</w:t>
      </w:r>
    </w:p>
    <w:p>
      <w:pPr>
        <w:spacing w:after="120"/>
      </w:pPr>
      <w:r>
        <w:rPr>
          <w:b w:val="0"/>
          <w:i w:val="0"/>
          <w:sz w:val="21"/>
        </w:rPr>
        <w:t>To overcome this resolution bottleneck, we propose a hybrid attention-color fusion method that combines the model-level "what is disease-relevant" signal from Grad-CAM++ with pixel-level "where are lesion-colored pixels" detection:</w:t>
      </w:r>
    </w:p>
    <w:p>
      <w:pPr>
        <w:spacing w:after="120"/>
      </w:pPr>
      <w:r>
        <w:rPr>
          <w:b/>
          <w:i w:val="0"/>
          <w:sz w:val="21"/>
        </w:rPr>
        <w:t>Color-Based Lesion Detection:</w:t>
      </w:r>
    </w:p>
    <w:p>
      <w:pPr>
        <w:spacing w:after="120"/>
      </w:pPr>
      <w:r>
        <w:rPr>
          <w:b w:val="0"/>
          <w:i w:val="0"/>
          <w:sz w:val="21"/>
        </w:rPr>
        <w:t>Disease lesions on plant leaves exhibit characteristic color signatures that differ from healthy tissue. Our color detector operates in both HSV and LAB color spaces with four detection channels: (1) brown/tan necrotic tissue (HSV H:5-25, S:40-220, V:30-200), (2) dark brown/black spots (HSV H:0-20, V:15-100), (3) reddish-brown lesions (HSV H:0-10, S&gt;50), and (4) LAB-based detection (A&gt;135, indicating reddish pixels with low-to-mid luminance). The detection is constrained to the leaf mask to avoid false positives.</w:t>
      </w:r>
    </w:p>
    <w:p>
      <w:pPr>
        <w:spacing w:after="120"/>
      </w:pPr>
      <w:r>
        <w:rPr>
          <w:b/>
          <w:i w:val="0"/>
          <w:sz w:val="21"/>
        </w:rPr>
        <w:t>Soft-Gated Fusion:</w:t>
      </w:r>
    </w:p>
    <w:p>
      <w:pPr>
        <w:spacing w:after="120"/>
      </w:pPr>
      <w:r>
        <w:rPr>
          <w:b w:val="0"/>
          <w:i w:val="0"/>
          <w:sz w:val="21"/>
        </w:rPr>
        <w:t>Rather than using Grad-CAM as a hard gate (which would silence color detections in areas with zero Grad-CAM activation), we employ a soft gating mechanism:</w:t>
      </w:r>
    </w:p>
    <w:p>
      <w:pPr>
        <w:spacing w:before="120" w:after="120"/>
        <w:jc w:val="center"/>
      </w:pPr>
      <w:r>
        <w:rPr>
          <w:i/>
          <w:sz w:val="22"/>
        </w:rPr>
        <w:t>G_soft = clamp(1.5 * H_gradcam + 0.25, 0, 1)</w:t>
      </w:r>
      <w:r>
        <w:rPr>
          <w:sz w:val="20"/>
        </w:rPr>
        <w:t xml:space="preserve">    (4)</w:t>
      </w:r>
    </w:p>
    <w:p>
      <w:pPr>
        <w:spacing w:before="120" w:after="120"/>
        <w:jc w:val="center"/>
      </w:pPr>
      <w:r>
        <w:rPr>
          <w:i/>
          <w:sz w:val="22"/>
        </w:rPr>
        <w:t>F_fused = 0.65 * (C_lesion * G_soft) + 0.35 * H_gradcam</w:t>
      </w:r>
      <w:r>
        <w:rPr>
          <w:sz w:val="20"/>
        </w:rPr>
        <w:t xml:space="preserve">    (5)</w:t>
      </w:r>
    </w:p>
    <w:p>
      <w:pPr>
        <w:spacing w:after="120"/>
      </w:pPr>
      <w:r>
        <w:rPr>
          <w:b w:val="0"/>
          <w:i w:val="0"/>
          <w:sz w:val="21"/>
        </w:rPr>
        <w:t>The floor value of 0.25 in Equation (4) ensures that color-detected lesion spots are never fully silenced even when Grad-CAM activation is zero at that location. This is critical because the 7x7 Grad-CAM resolution may assign zero activation to a cell containing a small lesion adjacent to a larger one. The 65/35 blend in Equation (5) gives priority to color-validated spots while retaining Grad-CAM as the disease-relevance arbiter -- a pixel must be both lesion-colored AND in a model-attention region to receive full activation.</w:t>
      </w:r>
    </w:p>
    <w:p>
      <w:pPr>
        <w:pStyle w:val="Heading2"/>
      </w:pPr>
      <w:r>
        <w:t>5.4 Layer 4: Multi-Region Infection Detection</w:t>
      </w:r>
    </w:p>
    <w:p>
      <w:pPr>
        <w:spacing w:after="120"/>
      </w:pPr>
      <w:r>
        <w:rPr>
          <w:b w:val="0"/>
          <w:i w:val="0"/>
          <w:sz w:val="21"/>
        </w:rPr>
        <w:t>The fused disease map is processed through adaptive thresholding and connected component analysis to identify distinct infected regions:</w:t>
      </w:r>
    </w:p>
    <w:p>
      <w:pPr>
        <w:pStyle w:val="ListNumber"/>
      </w:pPr>
      <w:r>
        <w:t>Otsu's adaptive thresholding is applied to the fused map to determine an optimal binarization threshold. The effective threshold is set to 70% of Otsu's value or the explicit threshold (0.12), whichever is lower, with a floor of 0.08.</w:t>
      </w:r>
    </w:p>
    <w:p>
      <w:pPr>
        <w:pStyle w:val="ListNumber"/>
      </w:pPr>
      <w:r>
        <w:t>Gentle morphological cleanup (2x2 opening, 3x3 closing) removes pixel-level noise while preserving the separation between nearby but distinct spots.</w:t>
      </w:r>
    </w:p>
    <w:p>
      <w:pPr>
        <w:pStyle w:val="ListNumber"/>
      </w:pPr>
      <w:r>
        <w:t>Connected component analysis (8-connectivity) identifies all distinct regions, filtering out components smaller than 0.08% of the image area.</w:t>
      </w:r>
    </w:p>
    <w:p>
      <w:pPr>
        <w:pStyle w:val="ListNumber"/>
      </w:pPr>
      <w:r>
        <w:t>Each qualifying region is characterized by: area (in pixels and percentage), centroid position, mean and peak activation intensity, and severity classification (mild: &lt;0.4, moderate: 0.4-0.7, severe: &gt;0.7).</w:t>
      </w:r>
    </w:p>
    <w:p>
      <w:pPr>
        <w:pStyle w:val="Heading2"/>
      </w:pPr>
      <w:r>
        <w:t>5.5 Layer 5: Severity-Adaptive Colormap</w:t>
      </w:r>
    </w:p>
    <w:p>
      <w:pPr>
        <w:spacing w:after="120"/>
      </w:pPr>
      <w:r>
        <w:rPr>
          <w:b w:val="0"/>
          <w:i w:val="0"/>
          <w:sz w:val="21"/>
        </w:rPr>
        <w:t>The standard jet colormap (blue-cyan-green-yellow-red) commonly used for Grad-CAM visualization is perceptually non-uniform and biologically unintuitive. We implement a custom disease severity colormap that maps activation intensity to an intuitive traffic-light scheme: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B71C1C" w:val="clear"/>
          </w:tcPr>
          <w:p>
            <w:pPr>
              <w:jc w:val="center"/>
            </w:pPr>
            <w:r/>
            <w:r>
              <w:rPr>
                <w:b/>
                <w:color w:val="FFFFFF"/>
                <w:sz w:val="18"/>
              </w:rPr>
              <w:t>Intensity Range</w:t>
            </w:r>
          </w:p>
        </w:tc>
        <w:tc>
          <w:tcPr>
            <w:tcW w:type="dxa" w:w="2268"/>
            <w:shd w:fill="B71C1C" w:val="clear"/>
          </w:tcPr>
          <w:p>
            <w:pPr>
              <w:jc w:val="center"/>
            </w:pPr>
            <w:r/>
            <w:r>
              <w:rPr>
                <w:b/>
                <w:color w:val="FFFFFF"/>
                <w:sz w:val="18"/>
              </w:rPr>
              <w:t>Color Gradient</w:t>
            </w:r>
          </w:p>
        </w:tc>
        <w:tc>
          <w:tcPr>
            <w:tcW w:type="dxa" w:w="2268"/>
            <w:shd w:fill="B71C1C" w:val="clear"/>
          </w:tcPr>
          <w:p>
            <w:pPr>
              <w:jc w:val="center"/>
            </w:pPr>
            <w:r/>
            <w:r>
              <w:rPr>
                <w:b/>
                <w:color w:val="FFFFFF"/>
                <w:sz w:val="18"/>
              </w:rPr>
              <w:t>Severity Meaning</w:t>
            </w:r>
          </w:p>
        </w:tc>
        <w:tc>
          <w:tcPr>
            <w:tcW w:type="dxa" w:w="2268"/>
            <w:shd w:fill="B71C1C" w:val="clear"/>
          </w:tcPr>
          <w:p>
            <w:pPr>
              <w:jc w:val="center"/>
            </w:pPr>
            <w:r/>
            <w:r>
              <w:rPr>
                <w:b/>
                <w:color w:val="FFFFFF"/>
                <w:sz w:val="18"/>
              </w:rPr>
              <w:t>RGB Mapping</w:t>
            </w:r>
          </w:p>
        </w:tc>
      </w:tr>
      <w:tr>
        <w:tc>
          <w:tcPr>
            <w:tcW w:type="dxa" w:w="2268"/>
          </w:tcPr>
          <w:p>
            <w:r/>
            <w:r>
              <w:rPr>
                <w:sz w:val="17"/>
              </w:rPr>
              <w:t>0.00 - 0.35</w:t>
            </w:r>
          </w:p>
        </w:tc>
        <w:tc>
          <w:tcPr>
            <w:tcW w:type="dxa" w:w="2268"/>
          </w:tcPr>
          <w:p>
            <w:r/>
            <w:r>
              <w:rPr>
                <w:sz w:val="17"/>
              </w:rPr>
              <w:t>Green to Yellow</w:t>
            </w:r>
          </w:p>
        </w:tc>
        <w:tc>
          <w:tcPr>
            <w:tcW w:type="dxa" w:w="2268"/>
          </w:tcPr>
          <w:p>
            <w:r/>
            <w:r>
              <w:rPr>
                <w:sz w:val="17"/>
              </w:rPr>
              <w:t>Mild / Early-stage</w:t>
            </w:r>
          </w:p>
        </w:tc>
        <w:tc>
          <w:tcPr>
            <w:tcW w:type="dxa" w:w="2268"/>
          </w:tcPr>
          <w:p>
            <w:r/>
            <w:r>
              <w:rPr>
                <w:sz w:val="17"/>
              </w:rPr>
              <w:t>R: 0.2-&gt;0.8, G: 0.8-&gt;0.6, B: 0</w:t>
            </w:r>
          </w:p>
        </w:tc>
      </w:tr>
      <w:tr>
        <w:tc>
          <w:tcPr>
            <w:tcW w:type="dxa" w:w="2268"/>
            <w:shd w:fill="E8EAF6" w:val="clear"/>
          </w:tcPr>
          <w:p>
            <w:r/>
            <w:r>
              <w:rPr>
                <w:sz w:val="17"/>
              </w:rPr>
              <w:t>0.35 - 0.65</w:t>
            </w:r>
          </w:p>
        </w:tc>
        <w:tc>
          <w:tcPr>
            <w:tcW w:type="dxa" w:w="2268"/>
            <w:shd w:fill="E8EAF6" w:val="clear"/>
          </w:tcPr>
          <w:p>
            <w:r/>
            <w:r>
              <w:rPr>
                <w:sz w:val="17"/>
              </w:rPr>
              <w:t>Yellow to Orange</w:t>
            </w:r>
          </w:p>
        </w:tc>
        <w:tc>
          <w:tcPr>
            <w:tcW w:type="dxa" w:w="2268"/>
            <w:shd w:fill="E8EAF6" w:val="clear"/>
          </w:tcPr>
          <w:p>
            <w:r/>
            <w:r>
              <w:rPr>
                <w:sz w:val="17"/>
              </w:rPr>
              <w:t>Moderate / Treatment recommended</w:t>
            </w:r>
          </w:p>
        </w:tc>
        <w:tc>
          <w:tcPr>
            <w:tcW w:type="dxa" w:w="2268"/>
            <w:shd w:fill="E8EAF6" w:val="clear"/>
          </w:tcPr>
          <w:p>
            <w:r/>
            <w:r>
              <w:rPr>
                <w:sz w:val="17"/>
              </w:rPr>
              <w:t>R: 0.9-&gt;1.0, G: 0.7-&gt;0.3, B: 0</w:t>
            </w:r>
          </w:p>
        </w:tc>
      </w:tr>
      <w:tr>
        <w:tc>
          <w:tcPr>
            <w:tcW w:type="dxa" w:w="2268"/>
          </w:tcPr>
          <w:p>
            <w:r/>
            <w:r>
              <w:rPr>
                <w:sz w:val="17"/>
              </w:rPr>
              <w:t>0.65 - 1.00</w:t>
            </w:r>
          </w:p>
        </w:tc>
        <w:tc>
          <w:tcPr>
            <w:tcW w:type="dxa" w:w="2268"/>
          </w:tcPr>
          <w:p>
            <w:r/>
            <w:r>
              <w:rPr>
                <w:sz w:val="17"/>
              </w:rPr>
              <w:t>Orange to Red</w:t>
            </w:r>
          </w:p>
        </w:tc>
        <w:tc>
          <w:tcPr>
            <w:tcW w:type="dxa" w:w="2268"/>
          </w:tcPr>
          <w:p>
            <w:r/>
            <w:r>
              <w:rPr>
                <w:sz w:val="17"/>
              </w:rPr>
              <w:t>Severe / Immediate action</w:t>
            </w:r>
          </w:p>
        </w:tc>
        <w:tc>
          <w:tcPr>
            <w:tcW w:type="dxa" w:w="2268"/>
          </w:tcPr>
          <w:p>
            <w:r/>
            <w:r>
              <w:rPr>
                <w:sz w:val="17"/>
              </w:rPr>
              <w:t>R: 1.0, G: 0.3-&gt;0.0, B: 0</w:t>
            </w:r>
          </w:p>
        </w:tc>
      </w:tr>
    </w:tbl>
    <w:p/>
    <w:p>
      <w:pPr>
        <w:spacing w:after="120"/>
      </w:pPr>
      <w:r>
        <w:rPr>
          <w:b w:val="0"/>
          <w:i w:val="0"/>
          <w:sz w:val="21"/>
        </w:rPr>
        <w:t>The overlay uses activation-proportional alpha blending: regions with intensity below 0.15 receive zero opacity (no overlay), while higher activations are blended with alpha up to 0.65, preserving visibility of the original leaf texture beneath. Background pixels (outside the leaf mask) always remain unmodified.</w:t>
      </w:r>
    </w:p>
    <w:p>
      <w:pPr>
        <w:pStyle w:val="Heading2"/>
      </w:pPr>
      <w:r>
        <w:t>5.6 Layer 6: Quantitative Severity Estimation</w:t>
      </w:r>
    </w:p>
    <w:p>
      <w:pPr>
        <w:spacing w:after="120"/>
      </w:pPr>
      <w:r>
        <w:rPr>
          <w:b w:val="0"/>
          <w:i w:val="0"/>
          <w:sz w:val="21"/>
        </w:rPr>
        <w:t>Beyond the visual heatmap, we compute a quantitative severity score that combines model confidence with the spatial extent of infection:</w:t>
      </w:r>
    </w:p>
    <w:p>
      <w:pPr>
        <w:spacing w:before="120" w:after="120"/>
        <w:jc w:val="center"/>
      </w:pPr>
      <w:r>
        <w:rPr>
          <w:i/>
          <w:sz w:val="22"/>
        </w:rPr>
        <w:t>S = 0.4 * C_model + 0.6 * min(P_activation / 100, 1.0)</w:t>
      </w:r>
      <w:r>
        <w:rPr>
          <w:sz w:val="20"/>
        </w:rPr>
        <w:t xml:space="preserve">    (6)</w:t>
      </w:r>
    </w:p>
    <w:p>
      <w:pPr>
        <w:spacing w:after="120"/>
      </w:pPr>
      <w:r>
        <w:rPr>
          <w:b w:val="0"/>
          <w:i w:val="0"/>
          <w:sz w:val="21"/>
        </w:rPr>
        <w:t>where C_model is the softmax confidence of the predicted class and P_activation is the percentage of leaf area with activation above 0.25 (computed from the Grad-CAM++ masked heatmap). The 40/60 weighting reflects the agricultural insight that spatial extent of infection is more indicative of treatment urgency than model confidence alone -- a model may be 95% confident about a disease present in only 5% of the leaf area (early stage, mild severity), whereas 70% confidence with 40% leaf area affected indicates a more urgent moderate-to-severe condition.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65100" w:val="clear"/>
          </w:tcPr>
          <w:p>
            <w:pPr>
              <w:jc w:val="center"/>
            </w:pPr>
            <w:r/>
            <w:r>
              <w:rPr>
                <w:b/>
                <w:color w:val="FFFFFF"/>
                <w:sz w:val="18"/>
              </w:rPr>
              <w:t>Score Range</w:t>
            </w:r>
          </w:p>
        </w:tc>
        <w:tc>
          <w:tcPr>
            <w:tcW w:type="dxa" w:w="2268"/>
            <w:shd w:fill="E65100" w:val="clear"/>
          </w:tcPr>
          <w:p>
            <w:pPr>
              <w:jc w:val="center"/>
            </w:pPr>
            <w:r/>
            <w:r>
              <w:rPr>
                <w:b/>
                <w:color w:val="FFFFFF"/>
                <w:sz w:val="18"/>
              </w:rPr>
              <w:t>Classification</w:t>
            </w:r>
          </w:p>
        </w:tc>
        <w:tc>
          <w:tcPr>
            <w:tcW w:type="dxa" w:w="2268"/>
            <w:shd w:fill="E65100" w:val="clear"/>
          </w:tcPr>
          <w:p>
            <w:pPr>
              <w:jc w:val="center"/>
            </w:pPr>
            <w:r/>
            <w:r>
              <w:rPr>
                <w:b/>
                <w:color w:val="FFFFFF"/>
                <w:sz w:val="18"/>
              </w:rPr>
              <w:t>User Guidance</w:t>
            </w:r>
          </w:p>
        </w:tc>
        <w:tc>
          <w:tcPr>
            <w:tcW w:type="dxa" w:w="2268"/>
            <w:shd w:fill="E65100" w:val="clear"/>
          </w:tcPr>
          <w:p>
            <w:pPr>
              <w:jc w:val="center"/>
            </w:pPr>
            <w:r/>
            <w:r>
              <w:rPr>
                <w:b/>
                <w:color w:val="FFFFFF"/>
                <w:sz w:val="18"/>
              </w:rPr>
              <w:t>UI Indicator</w:t>
            </w:r>
          </w:p>
        </w:tc>
      </w:tr>
      <w:tr>
        <w:tc>
          <w:tcPr>
            <w:tcW w:type="dxa" w:w="2268"/>
          </w:tcPr>
          <w:p>
            <w:r/>
            <w:r>
              <w:rPr>
                <w:sz w:val="17"/>
              </w:rPr>
              <w:t>S &lt; 0.35</w:t>
            </w:r>
          </w:p>
        </w:tc>
        <w:tc>
          <w:tcPr>
            <w:tcW w:type="dxa" w:w="2268"/>
          </w:tcPr>
          <w:p>
            <w:r/>
            <w:r>
              <w:rPr>
                <w:sz w:val="17"/>
              </w:rPr>
              <w:t>Mild</w:t>
            </w:r>
          </w:p>
        </w:tc>
        <w:tc>
          <w:tcPr>
            <w:tcW w:type="dxa" w:w="2268"/>
          </w:tcPr>
          <w:p>
            <w:r/>
            <w:r>
              <w:rPr>
                <w:sz w:val="17"/>
              </w:rPr>
              <w:t>Early-stage infection. Minimal spread.</w:t>
            </w:r>
          </w:p>
        </w:tc>
        <w:tc>
          <w:tcPr>
            <w:tcW w:type="dxa" w:w="2268"/>
          </w:tcPr>
          <w:p>
            <w:r/>
            <w:r>
              <w:rPr>
                <w:sz w:val="17"/>
              </w:rPr>
              <w:t>Yellow alert</w:t>
            </w:r>
          </w:p>
        </w:tc>
      </w:tr>
      <w:tr>
        <w:tc>
          <w:tcPr>
            <w:tcW w:type="dxa" w:w="2268"/>
            <w:shd w:fill="E8EAF6" w:val="clear"/>
          </w:tcPr>
          <w:p>
            <w:r/>
            <w:r>
              <w:rPr>
                <w:sz w:val="17"/>
              </w:rPr>
              <w:t>0.35 &lt;= S &lt; 0.65</w:t>
            </w:r>
          </w:p>
        </w:tc>
        <w:tc>
          <w:tcPr>
            <w:tcW w:type="dxa" w:w="2268"/>
            <w:shd w:fill="E8EAF6" w:val="clear"/>
          </w:tcPr>
          <w:p>
            <w:r/>
            <w:r>
              <w:rPr>
                <w:sz w:val="17"/>
              </w:rPr>
              <w:t>Moderate</w:t>
            </w:r>
          </w:p>
        </w:tc>
        <w:tc>
          <w:tcPr>
            <w:tcW w:type="dxa" w:w="2268"/>
            <w:shd w:fill="E8EAF6" w:val="clear"/>
          </w:tcPr>
          <w:p>
            <w:r/>
            <w:r>
              <w:rPr>
                <w:sz w:val="17"/>
              </w:rPr>
              <w:t>Treatment recommended soon.</w:t>
            </w:r>
          </w:p>
        </w:tc>
        <w:tc>
          <w:tcPr>
            <w:tcW w:type="dxa" w:w="2268"/>
            <w:shd w:fill="E8EAF6" w:val="clear"/>
          </w:tcPr>
          <w:p>
            <w:r/>
            <w:r>
              <w:rPr>
                <w:sz w:val="17"/>
              </w:rPr>
              <w:t>Orange alert</w:t>
            </w:r>
          </w:p>
        </w:tc>
      </w:tr>
      <w:tr>
        <w:tc>
          <w:tcPr>
            <w:tcW w:type="dxa" w:w="2268"/>
          </w:tcPr>
          <w:p>
            <w:r/>
            <w:r>
              <w:rPr>
                <w:sz w:val="17"/>
              </w:rPr>
              <w:t>S &gt;= 0.65</w:t>
            </w:r>
          </w:p>
        </w:tc>
        <w:tc>
          <w:tcPr>
            <w:tcW w:type="dxa" w:w="2268"/>
          </w:tcPr>
          <w:p>
            <w:r/>
            <w:r>
              <w:rPr>
                <w:sz w:val="17"/>
              </w:rPr>
              <w:t>Severe</w:t>
            </w:r>
          </w:p>
        </w:tc>
        <w:tc>
          <w:tcPr>
            <w:tcW w:type="dxa" w:w="2268"/>
          </w:tcPr>
          <w:p>
            <w:r/>
            <w:r>
              <w:rPr>
                <w:sz w:val="17"/>
              </w:rPr>
              <w:t>Immediate action required.</w:t>
            </w:r>
          </w:p>
        </w:tc>
        <w:tc>
          <w:tcPr>
            <w:tcW w:type="dxa" w:w="2268"/>
          </w:tcPr>
          <w:p>
            <w:r/>
            <w:r>
              <w:rPr>
                <w:sz w:val="17"/>
              </w:rPr>
              <w:t>Red alert</w:t>
            </w:r>
          </w:p>
        </w:tc>
      </w:tr>
    </w:tbl>
    <w:p>
      <w:pPr>
        <w:pStyle w:val="Heading2"/>
      </w:pPr>
      <w:r>
        <w:t>5.7 Layer 7: Weather-Aware Risk Decomposition</w:t>
      </w:r>
    </w:p>
    <w:p>
      <w:pPr>
        <w:spacing w:after="120"/>
      </w:pPr>
      <w:r>
        <w:rPr>
          <w:b w:val="0"/>
          <w:i w:val="0"/>
          <w:sz w:val="21"/>
        </w:rPr>
        <w:t>The risk decomposition layer extends explainability from the visual domain to the environmental decision domain. Each detected disease has a scientifically-grounded risk profile specifying the environmental conditions that favor its spread:</w:t>
      </w:r>
    </w:p>
    <w:p>
      <w:pPr>
        <w:spacing w:after="80"/>
        <w:jc w:val="center"/>
      </w:pPr>
      <w:r>
        <w:rPr>
          <w:b/>
          <w:i w:val="0"/>
          <w:sz w:val="20"/>
        </w:rPr>
        <w:t>Table 4: Disease Risk Factor Architecture (Selected Diseases)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B5E20" w:val="clear"/>
          </w:tcPr>
          <w:p>
            <w:pPr>
              <w:jc w:val="center"/>
            </w:pPr>
            <w:r/>
            <w:r>
              <w:rPr>
                <w:b/>
                <w:color w:val="FFFFFF"/>
                <w:sz w:val="18"/>
              </w:rPr>
              <w:t>Disease</w:t>
            </w:r>
          </w:p>
        </w:tc>
        <w:tc>
          <w:tcPr>
            <w:tcW w:type="dxa" w:w="1814"/>
            <w:shd w:fill="1B5E20" w:val="clear"/>
          </w:tcPr>
          <w:p>
            <w:pPr>
              <w:jc w:val="center"/>
            </w:pPr>
            <w:r/>
            <w:r>
              <w:rPr>
                <w:b/>
                <w:color w:val="FFFFFF"/>
                <w:sz w:val="18"/>
              </w:rPr>
              <w:t>Base Risk</w:t>
            </w:r>
          </w:p>
        </w:tc>
        <w:tc>
          <w:tcPr>
            <w:tcW w:type="dxa" w:w="1814"/>
            <w:shd w:fill="1B5E20" w:val="clear"/>
          </w:tcPr>
          <w:p>
            <w:pPr>
              <w:jc w:val="center"/>
            </w:pPr>
            <w:r/>
            <w:r>
              <w:rPr>
                <w:b/>
                <w:color w:val="FFFFFF"/>
                <w:sz w:val="18"/>
              </w:rPr>
              <w:t>Humidity Threshold</w:t>
            </w:r>
          </w:p>
        </w:tc>
        <w:tc>
          <w:tcPr>
            <w:tcW w:type="dxa" w:w="1814"/>
            <w:shd w:fill="1B5E20" w:val="clear"/>
          </w:tcPr>
          <w:p>
            <w:pPr>
              <w:jc w:val="center"/>
            </w:pPr>
            <w:r/>
            <w:r>
              <w:rPr>
                <w:b/>
                <w:color w:val="FFFFFF"/>
                <w:sz w:val="18"/>
              </w:rPr>
              <w:t>Temp Range (C)</w:t>
            </w:r>
          </w:p>
        </w:tc>
        <w:tc>
          <w:tcPr>
            <w:tcW w:type="dxa" w:w="1814"/>
            <w:shd w:fill="1B5E20" w:val="clear"/>
          </w:tcPr>
          <w:p>
            <w:pPr>
              <w:jc w:val="center"/>
            </w:pPr>
            <w:r/>
            <w:r>
              <w:rPr>
                <w:b/>
                <w:color w:val="FFFFFF"/>
                <w:sz w:val="18"/>
              </w:rPr>
              <w:t>Rain-Sensitive</w:t>
            </w:r>
          </w:p>
        </w:tc>
      </w:tr>
      <w:tr>
        <w:tc>
          <w:tcPr>
            <w:tcW w:type="dxa" w:w="1814"/>
          </w:tcPr>
          <w:p>
            <w:r/>
            <w:r>
              <w:rPr>
                <w:sz w:val="17"/>
              </w:rPr>
              <w:t>Late Blight (Potato)</w:t>
            </w:r>
          </w:p>
        </w:tc>
        <w:tc>
          <w:tcPr>
            <w:tcW w:type="dxa" w:w="1814"/>
          </w:tcPr>
          <w:p>
            <w:r/>
            <w:r>
              <w:rPr>
                <w:sz w:val="17"/>
              </w:rPr>
              <w:t>50</w:t>
            </w:r>
          </w:p>
        </w:tc>
        <w:tc>
          <w:tcPr>
            <w:tcW w:type="dxa" w:w="1814"/>
          </w:tcPr>
          <w:p>
            <w:r/>
            <w:r>
              <w:rPr>
                <w:sz w:val="17"/>
              </w:rPr>
              <w:t>&gt;= 75%</w:t>
            </w:r>
          </w:p>
        </w:tc>
        <w:tc>
          <w:tcPr>
            <w:tcW w:type="dxa" w:w="1814"/>
          </w:tcPr>
          <w:p>
            <w:r/>
            <w:r>
              <w:rPr>
                <w:sz w:val="17"/>
              </w:rPr>
              <w:t>10-24</w:t>
            </w:r>
          </w:p>
        </w:tc>
        <w:tc>
          <w:tcPr>
            <w:tcW w:type="dxa" w:w="1814"/>
          </w:tcPr>
          <w:p>
            <w:r/>
            <w:r>
              <w:rPr>
                <w:sz w:val="17"/>
              </w:rPr>
              <w:t>Yes</w:t>
            </w:r>
          </w:p>
        </w:tc>
      </w:tr>
      <w:tr>
        <w:tc>
          <w:tcPr>
            <w:tcW w:type="dxa" w:w="1814"/>
            <w:shd w:fill="E8EAF6" w:val="clear"/>
          </w:tcPr>
          <w:p>
            <w:r/>
            <w:r>
              <w:rPr>
                <w:sz w:val="17"/>
              </w:rPr>
              <w:t>Late Blight (Tomato)</w:t>
            </w:r>
          </w:p>
        </w:tc>
        <w:tc>
          <w:tcPr>
            <w:tcW w:type="dxa" w:w="1814"/>
            <w:shd w:fill="E8EAF6" w:val="clear"/>
          </w:tcPr>
          <w:p>
            <w:r/>
            <w:r>
              <w:rPr>
                <w:sz w:val="17"/>
              </w:rPr>
              <w:t>55</w:t>
            </w:r>
          </w:p>
        </w:tc>
        <w:tc>
          <w:tcPr>
            <w:tcW w:type="dxa" w:w="1814"/>
            <w:shd w:fill="E8EAF6" w:val="clear"/>
          </w:tcPr>
          <w:p>
            <w:r/>
            <w:r>
              <w:rPr>
                <w:sz w:val="17"/>
              </w:rPr>
              <w:t>&gt;= 75%</w:t>
            </w:r>
          </w:p>
        </w:tc>
        <w:tc>
          <w:tcPr>
            <w:tcW w:type="dxa" w:w="1814"/>
            <w:shd w:fill="E8EAF6" w:val="clear"/>
          </w:tcPr>
          <w:p>
            <w:r/>
            <w:r>
              <w:rPr>
                <w:sz w:val="17"/>
              </w:rPr>
              <w:t>10-24</w:t>
            </w:r>
          </w:p>
        </w:tc>
        <w:tc>
          <w:tcPr>
            <w:tcW w:type="dxa" w:w="1814"/>
            <w:shd w:fill="E8EAF6" w:val="clear"/>
          </w:tcPr>
          <w:p>
            <w:r/>
            <w:r>
              <w:rPr>
                <w:sz w:val="17"/>
              </w:rPr>
              <w:t>Yes</w:t>
            </w:r>
          </w:p>
        </w:tc>
      </w:tr>
      <w:tr>
        <w:tc>
          <w:tcPr>
            <w:tcW w:type="dxa" w:w="1814"/>
          </w:tcPr>
          <w:p>
            <w:r/>
            <w:r>
              <w:rPr>
                <w:sz w:val="17"/>
              </w:rPr>
              <w:t>Bacterial Spot</w:t>
            </w:r>
          </w:p>
        </w:tc>
        <w:tc>
          <w:tcPr>
            <w:tcW w:type="dxa" w:w="1814"/>
          </w:tcPr>
          <w:p>
            <w:r/>
            <w:r>
              <w:rPr>
                <w:sz w:val="17"/>
              </w:rPr>
              <w:t>40</w:t>
            </w:r>
          </w:p>
        </w:tc>
        <w:tc>
          <w:tcPr>
            <w:tcW w:type="dxa" w:w="1814"/>
          </w:tcPr>
          <w:p>
            <w:r/>
            <w:r>
              <w:rPr>
                <w:sz w:val="17"/>
              </w:rPr>
              <w:t>&gt;= 80%</w:t>
            </w:r>
          </w:p>
        </w:tc>
        <w:tc>
          <w:tcPr>
            <w:tcW w:type="dxa" w:w="1814"/>
          </w:tcPr>
          <w:p>
            <w:r/>
            <w:r>
              <w:rPr>
                <w:sz w:val="17"/>
              </w:rPr>
              <w:t>24-35</w:t>
            </w:r>
          </w:p>
        </w:tc>
        <w:tc>
          <w:tcPr>
            <w:tcW w:type="dxa" w:w="1814"/>
          </w:tcPr>
          <w:p>
            <w:r/>
            <w:r>
              <w:rPr>
                <w:sz w:val="17"/>
              </w:rPr>
              <w:t>Yes</w:t>
            </w:r>
          </w:p>
        </w:tc>
      </w:tr>
      <w:tr>
        <w:tc>
          <w:tcPr>
            <w:tcW w:type="dxa" w:w="1814"/>
            <w:shd w:fill="E8EAF6" w:val="clear"/>
          </w:tcPr>
          <w:p>
            <w:r/>
            <w:r>
              <w:rPr>
                <w:sz w:val="17"/>
              </w:rPr>
              <w:t>Spider Mites</w:t>
            </w:r>
          </w:p>
        </w:tc>
        <w:tc>
          <w:tcPr>
            <w:tcW w:type="dxa" w:w="1814"/>
            <w:shd w:fill="E8EAF6" w:val="clear"/>
          </w:tcPr>
          <w:p>
            <w:r/>
            <w:r>
              <w:rPr>
                <w:sz w:val="17"/>
              </w:rPr>
              <w:t>30</w:t>
            </w:r>
          </w:p>
        </w:tc>
        <w:tc>
          <w:tcPr>
            <w:tcW w:type="dxa" w:w="1814"/>
            <w:shd w:fill="E8EAF6" w:val="clear"/>
          </w:tcPr>
          <w:p>
            <w:r/>
            <w:r>
              <w:rPr>
                <w:sz w:val="17"/>
              </w:rPr>
              <w:t>&lt;= 40% (inverse)</w:t>
            </w:r>
          </w:p>
        </w:tc>
        <w:tc>
          <w:tcPr>
            <w:tcW w:type="dxa" w:w="1814"/>
            <w:shd w:fill="E8EAF6" w:val="clear"/>
          </w:tcPr>
          <w:p>
            <w:r/>
            <w:r>
              <w:rPr>
                <w:sz w:val="17"/>
              </w:rPr>
              <w:t>28-42</w:t>
            </w:r>
          </w:p>
        </w:tc>
        <w:tc>
          <w:tcPr>
            <w:tcW w:type="dxa" w:w="1814"/>
            <w:shd w:fill="E8EAF6" w:val="clear"/>
          </w:tcPr>
          <w:p>
            <w:r/>
            <w:r>
              <w:rPr>
                <w:sz w:val="17"/>
              </w:rPr>
              <w:t>No</w:t>
            </w:r>
          </w:p>
        </w:tc>
      </w:tr>
      <w:tr>
        <w:tc>
          <w:tcPr>
            <w:tcW w:type="dxa" w:w="1814"/>
          </w:tcPr>
          <w:p>
            <w:r/>
            <w:r>
              <w:rPr>
                <w:sz w:val="17"/>
              </w:rPr>
              <w:t>Leaf Mold</w:t>
            </w:r>
          </w:p>
        </w:tc>
        <w:tc>
          <w:tcPr>
            <w:tcW w:type="dxa" w:w="1814"/>
          </w:tcPr>
          <w:p>
            <w:r/>
            <w:r>
              <w:rPr>
                <w:sz w:val="17"/>
              </w:rPr>
              <w:t>40</w:t>
            </w:r>
          </w:p>
        </w:tc>
        <w:tc>
          <w:tcPr>
            <w:tcW w:type="dxa" w:w="1814"/>
          </w:tcPr>
          <w:p>
            <w:r/>
            <w:r>
              <w:rPr>
                <w:sz w:val="17"/>
              </w:rPr>
              <w:t>&gt;= 85%</w:t>
            </w:r>
          </w:p>
        </w:tc>
        <w:tc>
          <w:tcPr>
            <w:tcW w:type="dxa" w:w="1814"/>
          </w:tcPr>
          <w:p>
            <w:r/>
            <w:r>
              <w:rPr>
                <w:sz w:val="17"/>
              </w:rPr>
              <w:t>18-28</w:t>
            </w:r>
          </w:p>
        </w:tc>
        <w:tc>
          <w:tcPr>
            <w:tcW w:type="dxa" w:w="1814"/>
          </w:tcPr>
          <w:p>
            <w:r/>
            <w:r>
              <w:rPr>
                <w:sz w:val="17"/>
              </w:rPr>
              <w:t>No</w:t>
            </w:r>
          </w:p>
        </w:tc>
      </w:tr>
      <w:tr>
        <w:tc>
          <w:tcPr>
            <w:tcW w:type="dxa" w:w="1814"/>
            <w:shd w:fill="E8EAF6" w:val="clear"/>
          </w:tcPr>
          <w:p>
            <w:r/>
            <w:r>
              <w:rPr>
                <w:sz w:val="17"/>
              </w:rPr>
              <w:t>Early Blight</w:t>
            </w:r>
          </w:p>
        </w:tc>
        <w:tc>
          <w:tcPr>
            <w:tcW w:type="dxa" w:w="1814"/>
            <w:shd w:fill="E8EAF6" w:val="clear"/>
          </w:tcPr>
          <w:p>
            <w:r/>
            <w:r>
              <w:rPr>
                <w:sz w:val="17"/>
              </w:rPr>
              <w:t>35</w:t>
            </w:r>
          </w:p>
        </w:tc>
        <w:tc>
          <w:tcPr>
            <w:tcW w:type="dxa" w:w="1814"/>
            <w:shd w:fill="E8EAF6" w:val="clear"/>
          </w:tcPr>
          <w:p>
            <w:r/>
            <w:r>
              <w:rPr>
                <w:sz w:val="17"/>
              </w:rPr>
              <w:t>&gt;= 70%</w:t>
            </w:r>
          </w:p>
        </w:tc>
        <w:tc>
          <w:tcPr>
            <w:tcW w:type="dxa" w:w="1814"/>
            <w:shd w:fill="E8EAF6" w:val="clear"/>
          </w:tcPr>
          <w:p>
            <w:r/>
            <w:r>
              <w:rPr>
                <w:sz w:val="17"/>
              </w:rPr>
              <w:t>24-34</w:t>
            </w:r>
          </w:p>
        </w:tc>
        <w:tc>
          <w:tcPr>
            <w:tcW w:type="dxa" w:w="1814"/>
            <w:shd w:fill="E8EAF6" w:val="clear"/>
          </w:tcPr>
          <w:p>
            <w:r/>
            <w:r>
              <w:rPr>
                <w:sz w:val="17"/>
              </w:rPr>
              <w:t>Yes</w:t>
            </w:r>
          </w:p>
        </w:tc>
      </w:tr>
      <w:tr>
        <w:tc>
          <w:tcPr>
            <w:tcW w:type="dxa" w:w="1814"/>
          </w:tcPr>
          <w:p>
            <w:r/>
            <w:r>
              <w:rPr>
                <w:sz w:val="17"/>
              </w:rPr>
              <w:t>Yellow Leaf Curl Virus</w:t>
            </w:r>
          </w:p>
        </w:tc>
        <w:tc>
          <w:tcPr>
            <w:tcW w:type="dxa" w:w="1814"/>
          </w:tcPr>
          <w:p>
            <w:r/>
            <w:r>
              <w:rPr>
                <w:sz w:val="17"/>
              </w:rPr>
              <w:t>45</w:t>
            </w:r>
          </w:p>
        </w:tc>
        <w:tc>
          <w:tcPr>
            <w:tcW w:type="dxa" w:w="1814"/>
          </w:tcPr>
          <w:p>
            <w:r/>
            <w:r>
              <w:rPr>
                <w:sz w:val="17"/>
              </w:rPr>
              <w:t>&gt;= 60%</w:t>
            </w:r>
          </w:p>
        </w:tc>
        <w:tc>
          <w:tcPr>
            <w:tcW w:type="dxa" w:w="1814"/>
          </w:tcPr>
          <w:p>
            <w:r/>
            <w:r>
              <w:rPr>
                <w:sz w:val="17"/>
              </w:rPr>
              <w:t>25-38</w:t>
            </w:r>
          </w:p>
        </w:tc>
        <w:tc>
          <w:tcPr>
            <w:tcW w:type="dxa" w:w="1814"/>
          </w:tcPr>
          <w:p>
            <w:r/>
            <w:r>
              <w:rPr>
                <w:sz w:val="17"/>
              </w:rPr>
              <w:t>No</w:t>
            </w:r>
          </w:p>
        </w:tc>
      </w:tr>
    </w:tbl>
    <w:p/>
    <w:p>
      <w:pPr>
        <w:spacing w:after="120"/>
      </w:pPr>
      <w:r>
        <w:rPr>
          <w:b w:val="0"/>
          <w:i w:val="0"/>
          <w:sz w:val="21"/>
        </w:rPr>
        <w:t>The risk score is computed additively: starting from the base risk, points are added for humidity match (+15/+25), temperature match (+8/+20), and rainfall (+8/+15). The system generates natural language explanations for each contributing factor, e.g.: "Humidity (85%) above 75% threshold. Temperature (22 C) in disease-optimal range (10-24 C). Rainfall (8mm) promotes pathogen spread." This decomposed explanation allows the user to understand which specific environmental factors are driving the risk assessment.</w:t>
      </w:r>
    </w:p>
    <w:p>
      <w:pPr>
        <w:pStyle w:val="Heading2"/>
      </w:pPr>
      <w:r>
        <w:t>5.8 Layer 8: Actionable Treatment Explainability</w:t>
      </w:r>
    </w:p>
    <w:p>
      <w:pPr>
        <w:spacing w:after="120"/>
      </w:pPr>
      <w:r>
        <w:rPr>
          <w:b w:val="0"/>
          <w:i w:val="0"/>
          <w:sz w:val="21"/>
        </w:rPr>
        <w:t>The treatment layer provides domain knowledge-backed explanations for each diagnosed disease, structured into seven categories: disease description and cause, visual symptoms (enabling the farmer to cross-verify the AI diagnosis), organic treatment options, chemical treatment with specific formulations and dosages, prevention strategies for future seasons, irrigation modifications, and fertilizer adjustments. This structured knowledge base covers all 15 classes with disease-specific, actionable guidance sourced from agricultural extension literature and ICAR recommendations.</w:t>
      </w:r>
    </w:p>
    <w:p>
      <w:pPr>
        <w:pStyle w:val="Heading2"/>
      </w:pPr>
      <w:r>
        <w:t>5.9 Layer 9: Crop Suitability Score Transparency</w:t>
      </w:r>
    </w:p>
    <w:p>
      <w:pPr>
        <w:spacing w:after="120"/>
      </w:pPr>
      <w:r>
        <w:rPr>
          <w:b w:val="0"/>
          <w:i w:val="0"/>
          <w:sz w:val="21"/>
        </w:rPr>
        <w:t>The crop recommendation module employs a transparent 100-point scoring system where each contributing factor is individually scored and explained to the user: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33691E" w:val="clear"/>
          </w:tcPr>
          <w:p>
            <w:pPr>
              <w:jc w:val="center"/>
            </w:pPr>
            <w:r/>
            <w:r>
              <w:rPr>
                <w:b/>
                <w:color w:val="FFFFFF"/>
                <w:sz w:val="18"/>
              </w:rPr>
              <w:t>Factor</w:t>
            </w:r>
          </w:p>
        </w:tc>
        <w:tc>
          <w:tcPr>
            <w:tcW w:type="dxa" w:w="2268"/>
            <w:shd w:fill="33691E" w:val="clear"/>
          </w:tcPr>
          <w:p>
            <w:pPr>
              <w:jc w:val="center"/>
            </w:pPr>
            <w:r/>
            <w:r>
              <w:rPr>
                <w:b/>
                <w:color w:val="FFFFFF"/>
                <w:sz w:val="18"/>
              </w:rPr>
              <w:t>Maximum Points</w:t>
            </w:r>
          </w:p>
        </w:tc>
        <w:tc>
          <w:tcPr>
            <w:tcW w:type="dxa" w:w="2268"/>
            <w:shd w:fill="33691E" w:val="clear"/>
          </w:tcPr>
          <w:p>
            <w:pPr>
              <w:jc w:val="center"/>
            </w:pPr>
            <w:r/>
            <w:r>
              <w:rPr>
                <w:b/>
                <w:color w:val="FFFFFF"/>
                <w:sz w:val="18"/>
              </w:rPr>
              <w:t>Scoring Logic</w:t>
            </w:r>
          </w:p>
        </w:tc>
        <w:tc>
          <w:tcPr>
            <w:tcW w:type="dxa" w:w="2268"/>
            <w:shd w:fill="33691E" w:val="clear"/>
          </w:tcPr>
          <w:p>
            <w:pPr>
              <w:jc w:val="center"/>
            </w:pPr>
            <w:r/>
            <w:r>
              <w:rPr>
                <w:b/>
                <w:color w:val="FFFFFF"/>
                <w:sz w:val="18"/>
              </w:rPr>
              <w:t>Example Explanation</w:t>
            </w:r>
          </w:p>
        </w:tc>
      </w:tr>
      <w:tr>
        <w:tc>
          <w:tcPr>
            <w:tcW w:type="dxa" w:w="2268"/>
          </w:tcPr>
          <w:p>
            <w:r/>
            <w:r>
              <w:rPr>
                <w:sz w:val="17"/>
              </w:rPr>
              <w:t>Season Match</w:t>
            </w:r>
          </w:p>
        </w:tc>
        <w:tc>
          <w:tcPr>
            <w:tcW w:type="dxa" w:w="2268"/>
          </w:tcPr>
          <w:p>
            <w:r/>
            <w:r>
              <w:rPr>
                <w:sz w:val="17"/>
              </w:rPr>
              <w:t>25</w:t>
            </w:r>
          </w:p>
        </w:tc>
        <w:tc>
          <w:tcPr>
            <w:tcW w:type="dxa" w:w="2268"/>
          </w:tcPr>
          <w:p>
            <w:r/>
            <w:r>
              <w:rPr>
                <w:sz w:val="17"/>
              </w:rPr>
              <w:t>Full if current season matches crop</w:t>
            </w:r>
          </w:p>
        </w:tc>
        <w:tc>
          <w:tcPr>
            <w:tcW w:type="dxa" w:w="2268"/>
          </w:tcPr>
          <w:p>
            <w:r/>
            <w:r>
              <w:rPr>
                <w:sz w:val="17"/>
              </w:rPr>
              <w:t>Season match (Kharif)</w:t>
            </w:r>
          </w:p>
        </w:tc>
      </w:tr>
      <w:tr>
        <w:tc>
          <w:tcPr>
            <w:tcW w:type="dxa" w:w="2268"/>
            <w:shd w:fill="E8EAF6" w:val="clear"/>
          </w:tcPr>
          <w:p>
            <w:r/>
            <w:r>
              <w:rPr>
                <w:sz w:val="17"/>
              </w:rPr>
              <w:t>Temperature</w:t>
            </w:r>
          </w:p>
        </w:tc>
        <w:tc>
          <w:tcPr>
            <w:tcW w:type="dxa" w:w="2268"/>
            <w:shd w:fill="E8EAF6" w:val="clear"/>
          </w:tcPr>
          <w:p>
            <w:r/>
            <w:r>
              <w:rPr>
                <w:sz w:val="17"/>
              </w:rPr>
              <w:t>25</w:t>
            </w:r>
          </w:p>
        </w:tc>
        <w:tc>
          <w:tcPr>
            <w:tcW w:type="dxa" w:w="2268"/>
            <w:shd w:fill="E8EAF6" w:val="clear"/>
          </w:tcPr>
          <w:p>
            <w:r/>
            <w:r>
              <w:rPr>
                <w:sz w:val="17"/>
              </w:rPr>
              <w:t>Full if in optimal range, partial if near</w:t>
            </w:r>
          </w:p>
        </w:tc>
        <w:tc>
          <w:tcPr>
            <w:tcW w:type="dxa" w:w="2268"/>
            <w:shd w:fill="E8EAF6" w:val="clear"/>
          </w:tcPr>
          <w:p>
            <w:r/>
            <w:r>
              <w:rPr>
                <w:sz w:val="17"/>
              </w:rPr>
              <w:t>Temp 28 C in optimal range</w:t>
            </w:r>
          </w:p>
        </w:tc>
      </w:tr>
      <w:tr>
        <w:tc>
          <w:tcPr>
            <w:tcW w:type="dxa" w:w="2268"/>
          </w:tcPr>
          <w:p>
            <w:r/>
            <w:r>
              <w:rPr>
                <w:sz w:val="17"/>
              </w:rPr>
              <w:t>Humidity</w:t>
            </w:r>
          </w:p>
        </w:tc>
        <w:tc>
          <w:tcPr>
            <w:tcW w:type="dxa" w:w="2268"/>
          </w:tcPr>
          <w:p>
            <w:r/>
            <w:r>
              <w:rPr>
                <w:sz w:val="17"/>
              </w:rPr>
              <w:t>20</w:t>
            </w:r>
          </w:p>
        </w:tc>
        <w:tc>
          <w:tcPr>
            <w:tcW w:type="dxa" w:w="2268"/>
          </w:tcPr>
          <w:p>
            <w:r/>
            <w:r>
              <w:rPr>
                <w:sz w:val="17"/>
              </w:rPr>
              <w:t>Full if in optimal range, partial if near</w:t>
            </w:r>
          </w:p>
        </w:tc>
        <w:tc>
          <w:tcPr>
            <w:tcW w:type="dxa" w:w="2268"/>
          </w:tcPr>
          <w:p>
            <w:r/>
            <w:r>
              <w:rPr>
                <w:sz w:val="17"/>
              </w:rPr>
              <w:t>Humidity 45% marginal</w:t>
            </w:r>
          </w:p>
        </w:tc>
      </w:tr>
      <w:tr>
        <w:tc>
          <w:tcPr>
            <w:tcW w:type="dxa" w:w="2268"/>
            <w:shd w:fill="E8EAF6" w:val="clear"/>
          </w:tcPr>
          <w:p>
            <w:r/>
            <w:r>
              <w:rPr>
                <w:sz w:val="17"/>
              </w:rPr>
              <w:t>Rainfall</w:t>
            </w:r>
          </w:p>
        </w:tc>
        <w:tc>
          <w:tcPr>
            <w:tcW w:type="dxa" w:w="2268"/>
            <w:shd w:fill="E8EAF6" w:val="clear"/>
          </w:tcPr>
          <w:p>
            <w:r/>
            <w:r>
              <w:rPr>
                <w:sz w:val="17"/>
              </w:rPr>
              <w:t>15</w:t>
            </w:r>
          </w:p>
        </w:tc>
        <w:tc>
          <w:tcPr>
            <w:tcW w:type="dxa" w:w="2268"/>
            <w:shd w:fill="E8EAF6" w:val="clear"/>
          </w:tcPr>
          <w:p>
            <w:r/>
            <w:r>
              <w:rPr>
                <w:sz w:val="17"/>
              </w:rPr>
              <w:t>Full if within min-max, partial if &gt;= 70% min</w:t>
            </w:r>
          </w:p>
        </w:tc>
        <w:tc>
          <w:tcPr>
            <w:tcW w:type="dxa" w:w="2268"/>
            <w:shd w:fill="E8EAF6" w:val="clear"/>
          </w:tcPr>
          <w:p>
            <w:r/>
            <w:r>
              <w:rPr>
                <w:sz w:val="17"/>
              </w:rPr>
              <w:t>Rainfall adequate</w:t>
            </w:r>
          </w:p>
        </w:tc>
      </w:tr>
      <w:tr>
        <w:tc>
          <w:tcPr>
            <w:tcW w:type="dxa" w:w="2268"/>
          </w:tcPr>
          <w:p>
            <w:r/>
            <w:r>
              <w:rPr>
                <w:sz w:val="17"/>
              </w:rPr>
              <w:t>Soil Type</w:t>
            </w:r>
          </w:p>
        </w:tc>
        <w:tc>
          <w:tcPr>
            <w:tcW w:type="dxa" w:w="2268"/>
          </w:tcPr>
          <w:p>
            <w:r/>
            <w:r>
              <w:rPr>
                <w:sz w:val="17"/>
              </w:rPr>
              <w:t>15</w:t>
            </w:r>
          </w:p>
        </w:tc>
        <w:tc>
          <w:tcPr>
            <w:tcW w:type="dxa" w:w="2268"/>
          </w:tcPr>
          <w:p>
            <w:r/>
            <w:r>
              <w:rPr>
                <w:sz w:val="17"/>
              </w:rPr>
              <w:t>15 if soil in compatible list, else 5</w:t>
            </w:r>
          </w:p>
        </w:tc>
        <w:tc>
          <w:tcPr>
            <w:tcW w:type="dxa" w:w="2268"/>
          </w:tcPr>
          <w:p>
            <w:r/>
            <w:r>
              <w:rPr>
                <w:sz w:val="17"/>
              </w:rPr>
              <w:t>Loamy soil is ideal</w:t>
            </w:r>
          </w:p>
        </w:tc>
      </w:tr>
    </w:tbl>
    <w:p/>
    <w:p>
      <w:pPr>
        <w:spacing w:after="120"/>
      </w:pPr>
      <w:r>
        <w:rPr>
          <w:b w:val="0"/>
          <w:i w:val="0"/>
          <w:sz w:val="21"/>
        </w:rPr>
        <w:t>Each crop recommendation card displays the individual factor assessments with color-coded status indicators, allowing the user to understand exactly why a crop scored high or low and which conditions could be improved.</w:t>
      </w:r>
    </w:p>
    <w:p>
      <w:r>
        <w:br w:type="page"/>
      </w:r>
    </w:p>
    <w:p>
      <w:pPr>
        <w:pStyle w:val="Heading1"/>
      </w:pPr>
      <w:r>
        <w:t>6. Implementation Details</w:t>
      </w:r>
    </w:p>
    <w:p>
      <w:pPr>
        <w:spacing w:after="80"/>
        <w:jc w:val="center"/>
      </w:pPr>
      <w:r>
        <w:rPr>
          <w:b/>
          <w:i w:val="0"/>
          <w:sz w:val="20"/>
        </w:rPr>
        <w:t>Table 5: Implementation Stack</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237E" w:val="clear"/>
          </w:tcPr>
          <w:p>
            <w:pPr>
              <w:jc w:val="center"/>
            </w:pPr>
            <w:r/>
            <w:r>
              <w:rPr>
                <w:b/>
                <w:color w:val="FFFFFF"/>
                <w:sz w:val="18"/>
              </w:rPr>
              <w:t>Component</w:t>
            </w:r>
          </w:p>
        </w:tc>
        <w:tc>
          <w:tcPr>
            <w:tcW w:type="dxa" w:w="3024"/>
            <w:shd w:fill="1A237E" w:val="clear"/>
          </w:tcPr>
          <w:p>
            <w:pPr>
              <w:jc w:val="center"/>
            </w:pPr>
            <w:r/>
            <w:r>
              <w:rPr>
                <w:b/>
                <w:color w:val="FFFFFF"/>
                <w:sz w:val="18"/>
              </w:rPr>
              <w:t>Technology</w:t>
            </w:r>
          </w:p>
        </w:tc>
        <w:tc>
          <w:tcPr>
            <w:tcW w:type="dxa" w:w="3024"/>
            <w:shd w:fill="1A237E" w:val="clear"/>
          </w:tcPr>
          <w:p>
            <w:pPr>
              <w:jc w:val="center"/>
            </w:pPr>
            <w:r/>
            <w:r>
              <w:rPr>
                <w:b/>
                <w:color w:val="FFFFFF"/>
                <w:sz w:val="18"/>
              </w:rPr>
              <w:t>Version / Details</w:t>
            </w:r>
          </w:p>
        </w:tc>
      </w:tr>
      <w:tr>
        <w:tc>
          <w:tcPr>
            <w:tcW w:type="dxa" w:w="3024"/>
          </w:tcPr>
          <w:p>
            <w:r/>
            <w:r>
              <w:rPr>
                <w:sz w:val="17"/>
              </w:rPr>
              <w:t>Deep Learning Framework</w:t>
            </w:r>
          </w:p>
        </w:tc>
        <w:tc>
          <w:tcPr>
            <w:tcW w:type="dxa" w:w="3024"/>
          </w:tcPr>
          <w:p>
            <w:r/>
            <w:r>
              <w:rPr>
                <w:sz w:val="17"/>
              </w:rPr>
              <w:t>TensorFlow / Keras</w:t>
            </w:r>
          </w:p>
        </w:tc>
        <w:tc>
          <w:tcPr>
            <w:tcW w:type="dxa" w:w="3024"/>
          </w:tcPr>
          <w:p>
            <w:r/>
            <w:r>
              <w:rPr>
                <w:sz w:val="17"/>
              </w:rPr>
              <w:t>v2.x with GPU support</w:t>
            </w:r>
          </w:p>
        </w:tc>
      </w:tr>
      <w:tr>
        <w:tc>
          <w:tcPr>
            <w:tcW w:type="dxa" w:w="3024"/>
            <w:shd w:fill="E8EAF6" w:val="clear"/>
          </w:tcPr>
          <w:p>
            <w:r/>
            <w:r>
              <w:rPr>
                <w:sz w:val="17"/>
              </w:rPr>
              <w:t>Image Processing</w:t>
            </w:r>
          </w:p>
        </w:tc>
        <w:tc>
          <w:tcPr>
            <w:tcW w:type="dxa" w:w="3024"/>
            <w:shd w:fill="E8EAF6" w:val="clear"/>
          </w:tcPr>
          <w:p>
            <w:r/>
            <w:r>
              <w:rPr>
                <w:sz w:val="17"/>
              </w:rPr>
              <w:t>OpenCV (cv2)</w:t>
            </w:r>
          </w:p>
        </w:tc>
        <w:tc>
          <w:tcPr>
            <w:tcW w:type="dxa" w:w="3024"/>
            <w:shd w:fill="E8EAF6" w:val="clear"/>
          </w:tcPr>
          <w:p>
            <w:r/>
            <w:r>
              <w:rPr>
                <w:sz w:val="17"/>
              </w:rPr>
              <w:t>Color analysis, morphology, contours</w:t>
            </w:r>
          </w:p>
        </w:tc>
      </w:tr>
      <w:tr>
        <w:tc>
          <w:tcPr>
            <w:tcW w:type="dxa" w:w="3024"/>
          </w:tcPr>
          <w:p>
            <w:r/>
            <w:r>
              <w:rPr>
                <w:sz w:val="17"/>
              </w:rPr>
              <w:t>Scientific Computing</w:t>
            </w:r>
          </w:p>
        </w:tc>
        <w:tc>
          <w:tcPr>
            <w:tcW w:type="dxa" w:w="3024"/>
          </w:tcPr>
          <w:p>
            <w:r/>
            <w:r>
              <w:rPr>
                <w:sz w:val="17"/>
              </w:rPr>
              <w:t>NumPy, SciPy</w:t>
            </w:r>
          </w:p>
        </w:tc>
        <w:tc>
          <w:tcPr>
            <w:tcW w:type="dxa" w:w="3024"/>
          </w:tcPr>
          <w:p>
            <w:r/>
            <w:r>
              <w:rPr>
                <w:sz w:val="17"/>
              </w:rPr>
              <w:t>Gaussian filtering, array operations</w:t>
            </w:r>
          </w:p>
        </w:tc>
      </w:tr>
      <w:tr>
        <w:tc>
          <w:tcPr>
            <w:tcW w:type="dxa" w:w="3024"/>
            <w:shd w:fill="E8EAF6" w:val="clear"/>
          </w:tcPr>
          <w:p>
            <w:r/>
            <w:r>
              <w:rPr>
                <w:sz w:val="17"/>
              </w:rPr>
              <w:t>Visualization</w:t>
            </w:r>
          </w:p>
        </w:tc>
        <w:tc>
          <w:tcPr>
            <w:tcW w:type="dxa" w:w="3024"/>
            <w:shd w:fill="E8EAF6" w:val="clear"/>
          </w:tcPr>
          <w:p>
            <w:r/>
            <w:r>
              <w:rPr>
                <w:sz w:val="17"/>
              </w:rPr>
              <w:t>Matplotlib, Plotly</w:t>
            </w:r>
          </w:p>
        </w:tc>
        <w:tc>
          <w:tcPr>
            <w:tcW w:type="dxa" w:w="3024"/>
            <w:shd w:fill="E8EAF6" w:val="clear"/>
          </w:tcPr>
          <w:p>
            <w:r/>
            <w:r>
              <w:rPr>
                <w:sz w:val="17"/>
              </w:rPr>
              <w:t>Colormaps, interactive charts</w:t>
            </w:r>
          </w:p>
        </w:tc>
      </w:tr>
      <w:tr>
        <w:tc>
          <w:tcPr>
            <w:tcW w:type="dxa" w:w="3024"/>
          </w:tcPr>
          <w:p>
            <w:r/>
            <w:r>
              <w:rPr>
                <w:sz w:val="17"/>
              </w:rPr>
              <w:t>Web Application</w:t>
            </w:r>
          </w:p>
        </w:tc>
        <w:tc>
          <w:tcPr>
            <w:tcW w:type="dxa" w:w="3024"/>
          </w:tcPr>
          <w:p>
            <w:r/>
            <w:r>
              <w:rPr>
                <w:sz w:val="17"/>
              </w:rPr>
              <w:t>Streamlit</w:t>
            </w:r>
          </w:p>
        </w:tc>
        <w:tc>
          <w:tcPr>
            <w:tcW w:type="dxa" w:w="3024"/>
          </w:tcPr>
          <w:p>
            <w:r/>
            <w:r>
              <w:rPr>
                <w:sz w:val="17"/>
              </w:rPr>
              <w:t>Real-time interactive dashboard</w:t>
            </w:r>
          </w:p>
        </w:tc>
      </w:tr>
      <w:tr>
        <w:tc>
          <w:tcPr>
            <w:tcW w:type="dxa" w:w="3024"/>
            <w:shd w:fill="E8EAF6" w:val="clear"/>
          </w:tcPr>
          <w:p>
            <w:r/>
            <w:r>
              <w:rPr>
                <w:sz w:val="17"/>
              </w:rPr>
              <w:t>Gradient Computation</w:t>
            </w:r>
          </w:p>
        </w:tc>
        <w:tc>
          <w:tcPr>
            <w:tcW w:type="dxa" w:w="3024"/>
            <w:shd w:fill="E8EAF6" w:val="clear"/>
          </w:tcPr>
          <w:p>
            <w:r/>
            <w:r>
              <w:rPr>
                <w:sz w:val="17"/>
              </w:rPr>
              <w:t>tf.GradientTape</w:t>
            </w:r>
          </w:p>
        </w:tc>
        <w:tc>
          <w:tcPr>
            <w:tcW w:type="dxa" w:w="3024"/>
            <w:shd w:fill="E8EAF6" w:val="clear"/>
          </w:tcPr>
          <w:p>
            <w:r/>
            <w:r>
              <w:rPr>
                <w:sz w:val="17"/>
              </w:rPr>
              <w:t>Automatic differentiation</w:t>
            </w:r>
          </w:p>
        </w:tc>
      </w:tr>
      <w:tr>
        <w:tc>
          <w:tcPr>
            <w:tcW w:type="dxa" w:w="3024"/>
          </w:tcPr>
          <w:p>
            <w:r/>
            <w:r>
              <w:rPr>
                <w:sz w:val="17"/>
              </w:rPr>
              <w:t>Soil Data</w:t>
            </w:r>
          </w:p>
        </w:tc>
        <w:tc>
          <w:tcPr>
            <w:tcW w:type="dxa" w:w="3024"/>
          </w:tcPr>
          <w:p>
            <w:r/>
            <w:r>
              <w:rPr>
                <w:sz w:val="17"/>
              </w:rPr>
              <w:t>ISRIC SoilGrids API</w:t>
            </w:r>
          </w:p>
        </w:tc>
        <w:tc>
          <w:tcPr>
            <w:tcW w:type="dxa" w:w="3024"/>
          </w:tcPr>
          <w:p>
            <w:r/>
            <w:r>
              <w:rPr>
                <w:sz w:val="17"/>
              </w:rPr>
              <w:t>v2.0, 250m resolution</w:t>
            </w:r>
          </w:p>
        </w:tc>
      </w:tr>
      <w:tr>
        <w:tc>
          <w:tcPr>
            <w:tcW w:type="dxa" w:w="3024"/>
            <w:shd w:fill="E8EAF6" w:val="clear"/>
          </w:tcPr>
          <w:p>
            <w:r/>
            <w:r>
              <w:rPr>
                <w:sz w:val="17"/>
              </w:rPr>
              <w:t>Weather Data</w:t>
            </w:r>
          </w:p>
        </w:tc>
        <w:tc>
          <w:tcPr>
            <w:tcW w:type="dxa" w:w="3024"/>
            <w:shd w:fill="E8EAF6" w:val="clear"/>
          </w:tcPr>
          <w:p>
            <w:r/>
            <w:r>
              <w:rPr>
                <w:sz w:val="17"/>
              </w:rPr>
              <w:t>Open-Meteo API</w:t>
            </w:r>
          </w:p>
        </w:tc>
        <w:tc>
          <w:tcPr>
            <w:tcW w:type="dxa" w:w="3024"/>
            <w:shd w:fill="E8EAF6" w:val="clear"/>
          </w:tcPr>
          <w:p>
            <w:r/>
            <w:r>
              <w:rPr>
                <w:sz w:val="17"/>
              </w:rPr>
              <w:t>Real-time + 7-day forecast</w:t>
            </w:r>
          </w:p>
        </w:tc>
      </w:tr>
      <w:tr>
        <w:tc>
          <w:tcPr>
            <w:tcW w:type="dxa" w:w="3024"/>
          </w:tcPr>
          <w:p>
            <w:r/>
            <w:r>
              <w:rPr>
                <w:sz w:val="17"/>
              </w:rPr>
              <w:t>Geolocation</w:t>
            </w:r>
          </w:p>
        </w:tc>
        <w:tc>
          <w:tcPr>
            <w:tcW w:type="dxa" w:w="3024"/>
          </w:tcPr>
          <w:p>
            <w:r/>
            <w:r>
              <w:rPr>
                <w:sz w:val="17"/>
              </w:rPr>
              <w:t>ip-api + Nominatim</w:t>
            </w:r>
          </w:p>
        </w:tc>
        <w:tc>
          <w:tcPr>
            <w:tcW w:type="dxa" w:w="3024"/>
          </w:tcPr>
          <w:p>
            <w:r/>
            <w:r>
              <w:rPr>
                <w:sz w:val="17"/>
              </w:rPr>
              <w:t>Automatic location detection</w:t>
            </w:r>
          </w:p>
        </w:tc>
      </w:tr>
      <w:tr>
        <w:tc>
          <w:tcPr>
            <w:tcW w:type="dxa" w:w="3024"/>
            <w:shd w:fill="E8EAF6" w:val="clear"/>
          </w:tcPr>
          <w:p>
            <w:r/>
            <w:r>
              <w:rPr>
                <w:sz w:val="17"/>
              </w:rPr>
              <w:t>Dataset</w:t>
            </w:r>
          </w:p>
        </w:tc>
        <w:tc>
          <w:tcPr>
            <w:tcW w:type="dxa" w:w="3024"/>
            <w:shd w:fill="E8EAF6" w:val="clear"/>
          </w:tcPr>
          <w:p>
            <w:r/>
            <w:r>
              <w:rPr>
                <w:sz w:val="17"/>
              </w:rPr>
              <w:t>PlantVillage</w:t>
            </w:r>
          </w:p>
        </w:tc>
        <w:tc>
          <w:tcPr>
            <w:tcW w:type="dxa" w:w="3024"/>
            <w:shd w:fill="E8EAF6" w:val="clear"/>
          </w:tcPr>
          <w:p>
            <w:r/>
            <w:r>
              <w:rPr>
                <w:sz w:val="17"/>
              </w:rPr>
              <w:t>15 classes, 20,638 images</w:t>
            </w:r>
          </w:p>
        </w:tc>
      </w:tr>
      <w:tr>
        <w:tc>
          <w:tcPr>
            <w:tcW w:type="dxa" w:w="3024"/>
          </w:tcPr>
          <w:p>
            <w:r/>
            <w:r>
              <w:rPr>
                <w:sz w:val="17"/>
              </w:rPr>
              <w:t>Image Resolution</w:t>
            </w:r>
          </w:p>
        </w:tc>
        <w:tc>
          <w:tcPr>
            <w:tcW w:type="dxa" w:w="3024"/>
          </w:tcPr>
          <w:p>
            <w:r/>
            <w:r>
              <w:rPr>
                <w:sz w:val="17"/>
              </w:rPr>
              <w:t>224 x 224 px</w:t>
            </w:r>
          </w:p>
        </w:tc>
        <w:tc>
          <w:tcPr>
            <w:tcW w:type="dxa" w:w="3024"/>
          </w:tcPr>
          <w:p>
            <w:r/>
            <w:r>
              <w:rPr>
                <w:sz w:val="17"/>
              </w:rPr>
              <w:t>RGB, normalized to [0, 1]</w:t>
            </w:r>
          </w:p>
        </w:tc>
      </w:tr>
      <w:tr>
        <w:tc>
          <w:tcPr>
            <w:tcW w:type="dxa" w:w="3024"/>
            <w:shd w:fill="E8EAF6" w:val="clear"/>
          </w:tcPr>
          <w:p>
            <w:r/>
            <w:r>
              <w:rPr>
                <w:sz w:val="17"/>
              </w:rPr>
              <w:t>Preprocessing</w:t>
            </w:r>
          </w:p>
        </w:tc>
        <w:tc>
          <w:tcPr>
            <w:tcW w:type="dxa" w:w="3024"/>
            <w:shd w:fill="E8EAF6" w:val="clear"/>
          </w:tcPr>
          <w:p>
            <w:r/>
            <w:r>
              <w:rPr>
                <w:sz w:val="17"/>
              </w:rPr>
              <w:t>Architecture-specific</w:t>
            </w:r>
          </w:p>
        </w:tc>
        <w:tc>
          <w:tcPr>
            <w:tcW w:type="dxa" w:w="3024"/>
            <w:shd w:fill="E8EAF6" w:val="clear"/>
          </w:tcPr>
          <w:p>
            <w:r/>
            <w:r>
              <w:rPr>
                <w:sz w:val="17"/>
              </w:rPr>
              <w:t>tf / caffe / torch normalization</w:t>
            </w:r>
          </w:p>
        </w:tc>
      </w:tr>
    </w:tbl>
    <w:p/>
    <w:p>
      <w:pPr>
        <w:spacing w:after="120"/>
      </w:pPr>
      <w:r>
        <w:rPr>
          <w:b w:val="0"/>
          <w:i w:val="0"/>
          <w:sz w:val="21"/>
        </w:rPr>
        <w:t>All Grad-CAM computations use pre-softmax logits rather than post-softmax probabilities to ensure robust gradient signal. The gradient model is constructed using TensorFlow's tf.GradientTape API with explicit handling of nested backbone architectures through sub-model decomposition and graph replay. Heatmap generation runs entirely on-device with no external API calls, ensuring privacy and low latency. The complete pipeline (leaf segmentation + Grad-CAM++ + fusion + overlay) executes within the inference call, adding approximately 200-400ms to the prediction time.</w:t>
      </w:r>
    </w:p>
    <w:p>
      <w:r>
        <w:br w:type="page"/>
      </w:r>
    </w:p>
    <w:p>
      <w:pPr>
        <w:pStyle w:val="Heading1"/>
      </w:pPr>
      <w:r>
        <w:t>7. Model Performance and XAI Evaluation</w:t>
      </w:r>
    </w:p>
    <w:p>
      <w:pPr>
        <w:spacing w:after="80"/>
        <w:jc w:val="center"/>
      </w:pPr>
      <w:r>
        <w:rPr>
          <w:b/>
          <w:i w:val="0"/>
          <w:sz w:val="20"/>
        </w:rPr>
        <w:t>Table 6: Classification Performance on PlantVillage Test Set</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0D47A1" w:val="clear"/>
          </w:tcPr>
          <w:p>
            <w:pPr>
              <w:jc w:val="center"/>
            </w:pPr>
            <w:r/>
            <w:r>
              <w:rPr>
                <w:b/>
                <w:color w:val="FFFFFF"/>
                <w:sz w:val="18"/>
              </w:rPr>
              <w:t>Model</w:t>
            </w:r>
          </w:p>
        </w:tc>
        <w:tc>
          <w:tcPr>
            <w:tcW w:type="dxa" w:w="1134"/>
            <w:shd w:fill="0D47A1" w:val="clear"/>
          </w:tcPr>
          <w:p>
            <w:pPr>
              <w:jc w:val="center"/>
            </w:pPr>
            <w:r/>
            <w:r>
              <w:rPr>
                <w:b/>
                <w:color w:val="FFFFFF"/>
                <w:sz w:val="18"/>
              </w:rPr>
              <w:t>Accuracy</w:t>
            </w:r>
          </w:p>
        </w:tc>
        <w:tc>
          <w:tcPr>
            <w:tcW w:type="dxa" w:w="1134"/>
            <w:shd w:fill="0D47A1" w:val="clear"/>
          </w:tcPr>
          <w:p>
            <w:pPr>
              <w:jc w:val="center"/>
            </w:pPr>
            <w:r/>
            <w:r>
              <w:rPr>
                <w:b/>
                <w:color w:val="FFFFFF"/>
                <w:sz w:val="18"/>
              </w:rPr>
              <w:t>Precision</w:t>
            </w:r>
          </w:p>
        </w:tc>
        <w:tc>
          <w:tcPr>
            <w:tcW w:type="dxa" w:w="1134"/>
            <w:shd w:fill="0D47A1" w:val="clear"/>
          </w:tcPr>
          <w:p>
            <w:pPr>
              <w:jc w:val="center"/>
            </w:pPr>
            <w:r/>
            <w:r>
              <w:rPr>
                <w:b/>
                <w:color w:val="FFFFFF"/>
                <w:sz w:val="18"/>
              </w:rPr>
              <w:t>Recall</w:t>
            </w:r>
          </w:p>
        </w:tc>
        <w:tc>
          <w:tcPr>
            <w:tcW w:type="dxa" w:w="1134"/>
            <w:shd w:fill="0D47A1" w:val="clear"/>
          </w:tcPr>
          <w:p>
            <w:pPr>
              <w:jc w:val="center"/>
            </w:pPr>
            <w:r/>
            <w:r>
              <w:rPr>
                <w:b/>
                <w:color w:val="FFFFFF"/>
                <w:sz w:val="18"/>
              </w:rPr>
              <w:t>F1 Score</w:t>
            </w:r>
          </w:p>
        </w:tc>
        <w:tc>
          <w:tcPr>
            <w:tcW w:type="dxa" w:w="1134"/>
            <w:shd w:fill="0D47A1" w:val="clear"/>
          </w:tcPr>
          <w:p>
            <w:pPr>
              <w:jc w:val="center"/>
            </w:pPr>
            <w:r/>
            <w:r>
              <w:rPr>
                <w:b/>
                <w:color w:val="FFFFFF"/>
                <w:sz w:val="18"/>
              </w:rPr>
              <w:t>AUC</w:t>
            </w:r>
          </w:p>
        </w:tc>
        <w:tc>
          <w:tcPr>
            <w:tcW w:type="dxa" w:w="1134"/>
            <w:shd w:fill="0D47A1" w:val="clear"/>
          </w:tcPr>
          <w:p>
            <w:pPr>
              <w:jc w:val="center"/>
            </w:pPr>
            <w:r/>
            <w:r>
              <w:rPr>
                <w:b/>
                <w:color w:val="FFFFFF"/>
                <w:sz w:val="18"/>
              </w:rPr>
              <w:t>Inference (ms)</w:t>
            </w:r>
          </w:p>
        </w:tc>
        <w:tc>
          <w:tcPr>
            <w:tcW w:type="dxa" w:w="1134"/>
            <w:shd w:fill="0D47A1" w:val="clear"/>
          </w:tcPr>
          <w:p>
            <w:pPr>
              <w:jc w:val="center"/>
            </w:pPr>
            <w:r/>
            <w:r>
              <w:rPr>
                <w:b/>
                <w:color w:val="FFFFFF"/>
                <w:sz w:val="18"/>
              </w:rPr>
              <w:t>Size (MB)</w:t>
            </w:r>
          </w:p>
        </w:tc>
      </w:tr>
      <w:tr>
        <w:tc>
          <w:tcPr>
            <w:tcW w:type="dxa" w:w="1134"/>
          </w:tcPr>
          <w:p>
            <w:r/>
            <w:r>
              <w:rPr>
                <w:sz w:val="17"/>
              </w:rPr>
              <w:t>MobileNetV2</w:t>
            </w:r>
          </w:p>
        </w:tc>
        <w:tc>
          <w:tcPr>
            <w:tcW w:type="dxa" w:w="1134"/>
          </w:tcPr>
          <w:p>
            <w:r/>
            <w:r>
              <w:rPr>
                <w:sz w:val="17"/>
              </w:rPr>
              <w:t>91.63%</w:t>
            </w:r>
          </w:p>
        </w:tc>
        <w:tc>
          <w:tcPr>
            <w:tcW w:type="dxa" w:w="1134"/>
          </w:tcPr>
          <w:p>
            <w:r/>
            <w:r>
              <w:rPr>
                <w:sz w:val="17"/>
              </w:rPr>
              <w:t>92.06%</w:t>
            </w:r>
          </w:p>
        </w:tc>
        <w:tc>
          <w:tcPr>
            <w:tcW w:type="dxa" w:w="1134"/>
          </w:tcPr>
          <w:p>
            <w:r/>
            <w:r>
              <w:rPr>
                <w:sz w:val="17"/>
              </w:rPr>
              <w:t>91.63%</w:t>
            </w:r>
          </w:p>
        </w:tc>
        <w:tc>
          <w:tcPr>
            <w:tcW w:type="dxa" w:w="1134"/>
          </w:tcPr>
          <w:p>
            <w:r/>
            <w:r>
              <w:rPr>
                <w:sz w:val="17"/>
              </w:rPr>
              <w:t>91.61%</w:t>
            </w:r>
          </w:p>
        </w:tc>
        <w:tc>
          <w:tcPr>
            <w:tcW w:type="dxa" w:w="1134"/>
          </w:tcPr>
          <w:p>
            <w:r/>
            <w:r>
              <w:rPr>
                <w:sz w:val="17"/>
              </w:rPr>
              <w:t>99.68%</w:t>
            </w:r>
          </w:p>
        </w:tc>
        <w:tc>
          <w:tcPr>
            <w:tcW w:type="dxa" w:w="1134"/>
          </w:tcPr>
          <w:p>
            <w:r/>
            <w:r>
              <w:rPr>
                <w:sz w:val="17"/>
              </w:rPr>
              <w:t>62.7</w:t>
            </w:r>
          </w:p>
        </w:tc>
        <w:tc>
          <w:tcPr>
            <w:tcW w:type="dxa" w:w="1134"/>
          </w:tcPr>
          <w:p>
            <w:r/>
            <w:r>
              <w:rPr>
                <w:sz w:val="17"/>
              </w:rPr>
              <w:t>27.6</w:t>
            </w:r>
          </w:p>
        </w:tc>
      </w:tr>
      <w:tr>
        <w:tc>
          <w:tcPr>
            <w:tcW w:type="dxa" w:w="1134"/>
            <w:shd w:fill="E8EAF6" w:val="clear"/>
          </w:tcPr>
          <w:p>
            <w:r/>
            <w:r>
              <w:rPr>
                <w:sz w:val="17"/>
              </w:rPr>
              <w:t>ResNet50</w:t>
            </w:r>
          </w:p>
        </w:tc>
        <w:tc>
          <w:tcPr>
            <w:tcW w:type="dxa" w:w="1134"/>
            <w:shd w:fill="E8EAF6" w:val="clear"/>
          </w:tcPr>
          <w:p>
            <w:r/>
            <w:r>
              <w:rPr>
                <w:sz w:val="17"/>
              </w:rPr>
              <w:t>99.50%</w:t>
            </w:r>
          </w:p>
        </w:tc>
        <w:tc>
          <w:tcPr>
            <w:tcW w:type="dxa" w:w="1134"/>
            <w:shd w:fill="E8EAF6" w:val="clear"/>
          </w:tcPr>
          <w:p>
            <w:r/>
            <w:r>
              <w:rPr>
                <w:sz w:val="17"/>
              </w:rPr>
              <w:t>99.50%</w:t>
            </w:r>
          </w:p>
        </w:tc>
        <w:tc>
          <w:tcPr>
            <w:tcW w:type="dxa" w:w="1134"/>
            <w:shd w:fill="E8EAF6" w:val="clear"/>
          </w:tcPr>
          <w:p>
            <w:r/>
            <w:r>
              <w:rPr>
                <w:sz w:val="17"/>
              </w:rPr>
              <w:t>99.50%</w:t>
            </w:r>
          </w:p>
        </w:tc>
        <w:tc>
          <w:tcPr>
            <w:tcW w:type="dxa" w:w="1134"/>
            <w:shd w:fill="E8EAF6" w:val="clear"/>
          </w:tcPr>
          <w:p>
            <w:r/>
            <w:r>
              <w:rPr>
                <w:sz w:val="17"/>
              </w:rPr>
              <w:t>99.50%</w:t>
            </w:r>
          </w:p>
        </w:tc>
        <w:tc>
          <w:tcPr>
            <w:tcW w:type="dxa" w:w="1134"/>
            <w:shd w:fill="E8EAF6" w:val="clear"/>
          </w:tcPr>
          <w:p>
            <w:r/>
            <w:r>
              <w:rPr>
                <w:sz w:val="17"/>
              </w:rPr>
              <w:t>99.99%</w:t>
            </w:r>
          </w:p>
        </w:tc>
        <w:tc>
          <w:tcPr>
            <w:tcW w:type="dxa" w:w="1134"/>
            <w:shd w:fill="E8EAF6" w:val="clear"/>
          </w:tcPr>
          <w:p>
            <w:r/>
            <w:r>
              <w:rPr>
                <w:sz w:val="17"/>
              </w:rPr>
              <w:t>135.7</w:t>
            </w:r>
          </w:p>
        </w:tc>
        <w:tc>
          <w:tcPr>
            <w:tcW w:type="dxa" w:w="1134"/>
            <w:shd w:fill="E8EAF6" w:val="clear"/>
          </w:tcPr>
          <w:p>
            <w:r/>
            <w:r>
              <w:rPr>
                <w:sz w:val="17"/>
              </w:rPr>
              <w:t>259.2</w:t>
            </w:r>
          </w:p>
        </w:tc>
      </w:tr>
      <w:tr>
        <w:tc>
          <w:tcPr>
            <w:tcW w:type="dxa" w:w="1134"/>
          </w:tcPr>
          <w:p>
            <w:r/>
            <w:r>
              <w:rPr>
                <w:sz w:val="17"/>
              </w:rPr>
              <w:t>EfficientNetB0</w:t>
            </w:r>
          </w:p>
        </w:tc>
        <w:tc>
          <w:tcPr>
            <w:tcW w:type="dxa" w:w="1134"/>
          </w:tcPr>
          <w:p>
            <w:r/>
            <w:r>
              <w:rPr>
                <w:sz w:val="17"/>
              </w:rPr>
              <w:t>95.80%</w:t>
            </w:r>
          </w:p>
        </w:tc>
        <w:tc>
          <w:tcPr>
            <w:tcW w:type="dxa" w:w="1134"/>
          </w:tcPr>
          <w:p>
            <w:r/>
            <w:r>
              <w:rPr>
                <w:sz w:val="17"/>
              </w:rPr>
              <w:t>95.98%</w:t>
            </w:r>
          </w:p>
        </w:tc>
        <w:tc>
          <w:tcPr>
            <w:tcW w:type="dxa" w:w="1134"/>
          </w:tcPr>
          <w:p>
            <w:r/>
            <w:r>
              <w:rPr>
                <w:sz w:val="17"/>
              </w:rPr>
              <w:t>95.80%</w:t>
            </w:r>
          </w:p>
        </w:tc>
        <w:tc>
          <w:tcPr>
            <w:tcW w:type="dxa" w:w="1134"/>
          </w:tcPr>
          <w:p>
            <w:r/>
            <w:r>
              <w:rPr>
                <w:sz w:val="17"/>
              </w:rPr>
              <w:t>95.82%</w:t>
            </w:r>
          </w:p>
        </w:tc>
        <w:tc>
          <w:tcPr>
            <w:tcW w:type="dxa" w:w="1134"/>
          </w:tcPr>
          <w:p>
            <w:r/>
            <w:r>
              <w:rPr>
                <w:sz w:val="17"/>
              </w:rPr>
              <w:t>99.91%</w:t>
            </w:r>
          </w:p>
        </w:tc>
        <w:tc>
          <w:tcPr>
            <w:tcW w:type="dxa" w:w="1134"/>
          </w:tcPr>
          <w:p>
            <w:r/>
            <w:r>
              <w:rPr>
                <w:sz w:val="17"/>
              </w:rPr>
              <w:t>102.9</w:t>
            </w:r>
          </w:p>
        </w:tc>
        <w:tc>
          <w:tcPr>
            <w:tcW w:type="dxa" w:w="1134"/>
          </w:tcPr>
          <w:p>
            <w:r/>
            <w:r>
              <w:rPr>
                <w:sz w:val="17"/>
              </w:rPr>
              <w:t>31.5</w:t>
            </w:r>
          </w:p>
        </w:tc>
      </w:tr>
      <w:tr>
        <w:tc>
          <w:tcPr>
            <w:tcW w:type="dxa" w:w="1134"/>
            <w:shd w:fill="E8EAF6" w:val="clear"/>
          </w:tcPr>
          <w:p>
            <w:r/>
            <w:r>
              <w:rPr>
                <w:sz w:val="17"/>
              </w:rPr>
              <w:t>DenseNet121</w:t>
            </w:r>
          </w:p>
        </w:tc>
        <w:tc>
          <w:tcPr>
            <w:tcW w:type="dxa" w:w="1134"/>
            <w:shd w:fill="E8EAF6" w:val="clear"/>
          </w:tcPr>
          <w:p>
            <w:r/>
            <w:r>
              <w:rPr>
                <w:sz w:val="17"/>
              </w:rPr>
              <w:t>95.99%</w:t>
            </w:r>
          </w:p>
        </w:tc>
        <w:tc>
          <w:tcPr>
            <w:tcW w:type="dxa" w:w="1134"/>
            <w:shd w:fill="E8EAF6" w:val="clear"/>
          </w:tcPr>
          <w:p>
            <w:r/>
            <w:r>
              <w:rPr>
                <w:sz w:val="17"/>
              </w:rPr>
              <w:t>96.14%</w:t>
            </w:r>
          </w:p>
        </w:tc>
        <w:tc>
          <w:tcPr>
            <w:tcW w:type="dxa" w:w="1134"/>
            <w:shd w:fill="E8EAF6" w:val="clear"/>
          </w:tcPr>
          <w:p>
            <w:r/>
            <w:r>
              <w:rPr>
                <w:sz w:val="17"/>
              </w:rPr>
              <w:t>95.99%</w:t>
            </w:r>
          </w:p>
        </w:tc>
        <w:tc>
          <w:tcPr>
            <w:tcW w:type="dxa" w:w="1134"/>
            <w:shd w:fill="E8EAF6" w:val="clear"/>
          </w:tcPr>
          <w:p>
            <w:r/>
            <w:r>
              <w:rPr>
                <w:sz w:val="17"/>
              </w:rPr>
              <w:t>96.01%</w:t>
            </w:r>
          </w:p>
        </w:tc>
        <w:tc>
          <w:tcPr>
            <w:tcW w:type="dxa" w:w="1134"/>
            <w:shd w:fill="E8EAF6" w:val="clear"/>
          </w:tcPr>
          <w:p>
            <w:r/>
            <w:r>
              <w:rPr>
                <w:sz w:val="17"/>
              </w:rPr>
              <w:t>99.92%</w:t>
            </w:r>
          </w:p>
        </w:tc>
        <w:tc>
          <w:tcPr>
            <w:tcW w:type="dxa" w:w="1134"/>
            <w:shd w:fill="E8EAF6" w:val="clear"/>
          </w:tcPr>
          <w:p>
            <w:r/>
            <w:r>
              <w:rPr>
                <w:sz w:val="17"/>
              </w:rPr>
              <w:t>146.7</w:t>
            </w:r>
          </w:p>
        </w:tc>
        <w:tc>
          <w:tcPr>
            <w:tcW w:type="dxa" w:w="1134"/>
            <w:shd w:fill="E8EAF6" w:val="clear"/>
          </w:tcPr>
          <w:p>
            <w:r/>
            <w:r>
              <w:rPr>
                <w:sz w:val="17"/>
              </w:rPr>
              <w:t>38.1</w:t>
            </w:r>
          </w:p>
        </w:tc>
      </w:tr>
    </w:tbl>
    <w:p/>
    <w:p>
      <w:pPr>
        <w:spacing w:after="120"/>
      </w:pPr>
      <w:r>
        <w:rPr>
          <w:b w:val="0"/>
          <w:i w:val="0"/>
          <w:sz w:val="21"/>
        </w:rPr>
        <w:t>ResNet50 achieves the highest classification accuracy (99.50%) with an AUC of 99.99%, demonstrating near-perfect discriminative capability. MobileNetV2, while having the lowest accuracy (91.63%), offers the fastest inference (62.7ms) and smallest model size (27.6 MB), making it suitable for edge deployment scenarios. EfficientNetB0 and DenseNet121 provide intermediate accuracy (95.8-96.0%) with moderate resource requirements.</w:t>
      </w:r>
    </w:p>
    <w:p>
      <w:pPr>
        <w:pStyle w:val="Heading2"/>
      </w:pPr>
      <w:r>
        <w:t>7.1 XAI Quality Assessment</w:t>
      </w:r>
    </w:p>
    <w:p>
      <w:pPr>
        <w:spacing w:after="120"/>
      </w:pPr>
      <w:r>
        <w:rPr>
          <w:b w:val="0"/>
          <w:i w:val="0"/>
          <w:sz w:val="21"/>
        </w:rPr>
        <w:t>The quality of explainability outputs was assessed across three dimensions:</w:t>
      </w:r>
    </w:p>
    <w:p>
      <w:pPr>
        <w:spacing w:after="120"/>
      </w:pPr>
      <w:r>
        <w:rPr>
          <w:b/>
          <w:sz w:val="21"/>
        </w:rPr>
        <w:t xml:space="preserve">Spatial Accuracy: </w:t>
      </w:r>
      <w:r>
        <w:rPr>
          <w:sz w:val="21"/>
        </w:rPr>
        <w:t>Leaf segmentation consistently isolates the leaf boundary with &gt;95% IoU across test images. The leaf masking completely eliminates heatmap activation outside the leaf in all tested samples, addressing the common Grad-CAM artifact of background highlighting.</w:t>
      </w:r>
    </w:p>
    <w:p>
      <w:pPr>
        <w:spacing w:after="120"/>
      </w:pPr>
      <w:r>
        <w:rPr>
          <w:b/>
          <w:sz w:val="21"/>
        </w:rPr>
        <w:t xml:space="preserve">Multi-Spot Detection: </w:t>
      </w:r>
      <w:r>
        <w:rPr>
          <w:sz w:val="21"/>
        </w:rPr>
        <w:t>The hybrid attention-color fusion method successfully detects multiple distinct infection regions that standard Grad-CAM merges into a single blob. This is particularly effective for diseases like Septoria leaf spot and Bacterial spot that produce scattered lesions across the leaf surface.</w:t>
      </w:r>
    </w:p>
    <w:p>
      <w:pPr>
        <w:spacing w:after="120"/>
      </w:pPr>
      <w:r>
        <w:rPr>
          <w:b/>
          <w:sz w:val="21"/>
        </w:rPr>
        <w:t xml:space="preserve">Risk Explanation Consistency: </w:t>
      </w:r>
      <w:r>
        <w:rPr>
          <w:sz w:val="21"/>
        </w:rPr>
        <w:t>The weather-aware risk decomposition produces monotonically increasing risk scores as environmental conditions approach disease-favorable ranges, with natural language explanations that correctly identify the contributing factors.</w:t>
      </w:r>
    </w:p>
    <w:p>
      <w:pPr>
        <w:spacing w:after="120"/>
      </w:pPr>
      <w:r>
        <w:rPr>
          <w:b w:val="0"/>
          <w:i w:val="0"/>
          <w:sz w:val="21"/>
        </w:rPr>
        <w:t>Grad-CAM gallery images are generated for each model architecture and stored in the research reports directory, providing visual evidence of model attention patterns across disease classes and enabling qualitative comparison of explainability quality between architectures.</w:t>
      </w:r>
    </w:p>
    <w:p>
      <w:r>
        <w:br w:type="page"/>
      </w:r>
    </w:p>
    <w:p>
      <w:pPr>
        <w:pStyle w:val="Heading1"/>
      </w:pPr>
      <w:r>
        <w:t>8. Discussion</w:t>
      </w:r>
    </w:p>
    <w:p>
      <w:pPr>
        <w:spacing w:after="120"/>
      </w:pPr>
      <w:r>
        <w:rPr>
          <w:b w:val="0"/>
          <w:i w:val="0"/>
          <w:sz w:val="21"/>
        </w:rPr>
        <w:t>Our multi-layer XAI framework addresses the explainability gap in plant disease detection at multiple complementary levels. Several key observations emerge from our implementation and evaluation:</w:t>
      </w:r>
    </w:p>
    <w:p>
      <w:pPr>
        <w:spacing w:after="160"/>
      </w:pPr>
      <w:r>
        <w:rPr>
          <w:b/>
          <w:sz w:val="21"/>
        </w:rPr>
        <w:t xml:space="preserve">Grad-CAM++ vs. Grad-CAM. </w:t>
      </w:r>
      <w:r>
        <w:rPr>
          <w:sz w:val="21"/>
        </w:rPr>
        <w:t>The use of Grad-CAM++ with second-order gradient weighting is essential for plant disease applications. Standard Grad-CAM's global average pooling of gradients consistently highlights only the largest activation region, which is adequate for single-lesion diseases (e.g., Target Spot) but fails for scattered infections (e.g., Septoria leaf spot, Bacterial spot). Our evaluation shows that Grad-CAM++ detects 2-5 additional infection regions compared to Grad-CAM on the same images.</w:t>
      </w:r>
    </w:p>
    <w:p>
      <w:pPr>
        <w:spacing w:after="160"/>
      </w:pPr>
      <w:r>
        <w:rPr>
          <w:b/>
          <w:sz w:val="21"/>
        </w:rPr>
        <w:t xml:space="preserve">The 7x7 Resolution Bottleneck. </w:t>
      </w:r>
      <w:r>
        <w:rPr>
          <w:sz w:val="21"/>
        </w:rPr>
        <w:t>All four architectures produce 7x7 feature maps at the Grad-CAM target layer, meaning the finest spatial unit is approximately 32x32 pixels. This is a fundamental bottleneck that no amount of post-processing can fully resolve. Our hybrid fusion approach mitigates this by using color-based detection for spatial precision while retaining Grad-CAM as the disease-relevance gate. The soft gating mechanism (Equation 4) with a 0.25 floor ensures that color-detected lesions in Grad-CAM dead zones are not completely suppressed.</w:t>
      </w:r>
    </w:p>
    <w:p>
      <w:pPr>
        <w:spacing w:after="160"/>
      </w:pPr>
      <w:r>
        <w:rPr>
          <w:b/>
          <w:sz w:val="21"/>
        </w:rPr>
        <w:t xml:space="preserve">Pre-Softmax vs. Post-Softmax Gradients. </w:t>
      </w:r>
      <w:r>
        <w:rPr>
          <w:sz w:val="21"/>
        </w:rPr>
        <w:t>Computing gradients with respect to pre-softmax logits rather than post-softmax probabilities is critical for high-confidence predictions (&gt;95%), which are common in our models (especially ResNet50 at 99.5% accuracy). Post-softmax gradients approach zero for high-confidence predictions due to the saturating nature of softmax, producing weak or invisible heatmaps. Our pre-softmax approach maintains strong gradient signal regardless of confidence level.</w:t>
      </w:r>
    </w:p>
    <w:p>
      <w:pPr>
        <w:spacing w:after="160"/>
      </w:pPr>
      <w:r>
        <w:rPr>
          <w:b/>
          <w:sz w:val="21"/>
        </w:rPr>
        <w:t xml:space="preserve">Leaf Segmentation Necessity. </w:t>
      </w:r>
      <w:r>
        <w:rPr>
          <w:sz w:val="21"/>
        </w:rPr>
        <w:t>Without leaf masking, we observed that Grad-CAM frequently highlights background elements, particularly: (a) soil/pot edges that co-occur with certain disease classes in the training data, (b) image borders and watermarks present in some PlantVillage images, and (c) shadows cast by the leaf that create disease-like color patterns. Our multi-channel segmentation approach (HSV + LAB) handles these cases robustly.</w:t>
      </w:r>
    </w:p>
    <w:p>
      <w:pPr>
        <w:spacing w:after="160"/>
      </w:pPr>
      <w:r>
        <w:rPr>
          <w:b/>
          <w:sz w:val="21"/>
        </w:rPr>
        <w:t xml:space="preserve">Decision-Level Explainability. </w:t>
      </w:r>
      <w:r>
        <w:rPr>
          <w:sz w:val="21"/>
        </w:rPr>
        <w:t>While visual heatmaps are valuable for model interpretability research, our experience suggests that agricultural practitioners primarily benefit from decision-level explanations: severity classification, weather-contextualized risk scores, and actionable treatment recommendations. The visual heatmap serves as a trust-building tool that validates the model's attention, while the structured explanations drive actual farming decisions.</w:t>
      </w:r>
    </w:p>
    <w:p>
      <w:r>
        <w:br w:type="page"/>
      </w:r>
    </w:p>
    <w:p>
      <w:pPr>
        <w:pStyle w:val="Heading1"/>
      </w:pPr>
      <w:r>
        <w:t>9. Conclusion</w:t>
      </w:r>
    </w:p>
    <w:p>
      <w:pPr>
        <w:spacing w:after="120"/>
      </w:pPr>
      <w:r>
        <w:rPr>
          <w:b w:val="0"/>
          <w:i w:val="0"/>
          <w:sz w:val="21"/>
        </w:rPr>
        <w:t>This paper presented a comprehensive nine-layer Explainable AI framework for plant disease detection, implemented within the AGRI-X AI agricultural intelligence platform. Our framework addresses explainability at four complementary levels: model-level (Grad-CAM++ attention visualization), feature-level (leaf segmentation, multi-region detection, hybrid attention-color fusion), decision-level (severity estimation, weather-aware risk decomposition), and action-level (treatment rationale, crop suitability transparency).</w:t>
      </w:r>
    </w:p>
    <w:p>
      <w:pPr>
        <w:spacing w:after="120"/>
      </w:pPr>
      <w:r>
        <w:rPr>
          <w:b w:val="0"/>
          <w:i w:val="0"/>
          <w:sz w:val="21"/>
        </w:rPr>
        <w:t>The key technical contributions include: (1) the hybrid attention-color fusion method that overcomes the inherent 7x7 resolution limitation of Grad-CAM by combining model-derived attention signals with pixel-level color-based lesion detection; (2) leaf segmentation-based spatial masking that eliminates biologically meaningless activations outside the leaf boundary; and (3) a weather-aware risk decomposition engine that provides transparent, factor-by-factor explanations for disease risk assessments.</w:t>
      </w:r>
    </w:p>
    <w:p>
      <w:pPr>
        <w:spacing w:after="120"/>
      </w:pPr>
      <w:r>
        <w:rPr>
          <w:b w:val="0"/>
          <w:i w:val="0"/>
          <w:sz w:val="21"/>
        </w:rPr>
        <w:t>Our multi-model framework achieves classification accuracies ranging from 91.63% (MobileNetV2, optimized for edge deployment) to 99.50% (ResNet50, optimized for server-side accuracy) across 15 plant disease classes, while providing comprehensive explainability at every stage of the diagnostic pipeline. The integration of explainability as a first-class system component, rather than a post-hoc visualization tool, represents a step toward trustworthy and adoptable AI-powered agricultural decision support systems.</w:t>
      </w:r>
    </w:p>
    <w:p>
      <w:pPr>
        <w:spacing w:after="120"/>
      </w:pPr>
      <w:r>
        <w:rPr>
          <w:b w:val="0"/>
          <w:i w:val="0"/>
          <w:sz w:val="21"/>
        </w:rPr>
        <w:t>Future work includes user studies with agricultural practitioners to validate the practical impact of each explainability layer on trust and decision quality, extension to more crop species and disease classes, and investigation of attention-guided data augmentation strategies informed by the XAI outputs.</w:t>
      </w:r>
    </w:p>
    <w:p>
      <w:r>
        <w:br w:type="page"/>
      </w:r>
    </w:p>
    <w:p>
      <w:pPr>
        <w:pStyle w:val="Heading1"/>
      </w:pPr>
      <w:r>
        <w:t>10. References</w:t>
      </w:r>
    </w:p>
    <w:p>
      <w:pPr>
        <w:spacing w:after="80"/>
        <w:ind w:left="567" w:hanging="567"/>
      </w:pPr>
      <w:r>
        <w:rPr>
          <w:sz w:val="19"/>
        </w:rPr>
        <w:t>[1] Hughes, D.P. and Salathé, M. "An open access repository of images on plant health to enable the development of mobile disease diagnostics." arXiv preprint arXiv:1511.08060, 2015.</w:t>
      </w:r>
    </w:p>
    <w:p>
      <w:pPr>
        <w:spacing w:after="80"/>
        <w:ind w:left="567" w:hanging="567"/>
      </w:pPr>
      <w:r>
        <w:rPr>
          <w:sz w:val="19"/>
        </w:rPr>
        <w:t>[2] Selvaraju, R.R., Cogswell, M., Das, A., Vedantam, R., Parikh, D. and Batra, D. "Grad-CAM: Visual Explanations from Deep Networks via Gradient-based Localization." International Journal of Computer Vision, 128(2), pp.336-359, 2020.</w:t>
      </w:r>
    </w:p>
    <w:p>
      <w:pPr>
        <w:spacing w:after="80"/>
        <w:ind w:left="567" w:hanging="567"/>
      </w:pPr>
      <w:r>
        <w:rPr>
          <w:sz w:val="19"/>
        </w:rPr>
        <w:t>[3] Chattopadhyay, A., Sarkar, A., Howlader, P. and Balasubramanian, V.N. "Grad-CAM++: Generalized Gradient-based Visual Explanations for Deep Convolutional Networks." IEEE Winter Conference on Applications of Computer Vision (WACV), 2018.</w:t>
      </w:r>
    </w:p>
    <w:p>
      <w:pPr>
        <w:spacing w:after="80"/>
        <w:ind w:left="567" w:hanging="567"/>
      </w:pPr>
      <w:r>
        <w:rPr>
          <w:sz w:val="19"/>
        </w:rPr>
        <w:t>[4] Mohanty, S.P., Hughes, D.P. and Salathé, M. "Using deep learning for image-based plant disease detection." Frontiers in Plant Science, 7, p.1419, 2016.</w:t>
      </w:r>
    </w:p>
    <w:p>
      <w:pPr>
        <w:spacing w:after="80"/>
        <w:ind w:left="567" w:hanging="567"/>
      </w:pPr>
      <w:r>
        <w:rPr>
          <w:sz w:val="19"/>
        </w:rPr>
        <w:t>[5] Too, E.C., Yujian, L., Njuki, S. and Yingchun, L. "A comparative study of fine-tuning deep learning models for plant disease identification." Computers and Electronics in Agriculture, 161, pp.272-279, 2019.</w:t>
      </w:r>
    </w:p>
    <w:p>
      <w:pPr>
        <w:spacing w:after="80"/>
        <w:ind w:left="567" w:hanging="567"/>
      </w:pPr>
      <w:r>
        <w:rPr>
          <w:sz w:val="19"/>
        </w:rPr>
        <w:t>[6] Ferentinos, K.P. "Deep learning models for plant disease detection and diagnosis." Computers and Electronics in Agriculture, 145, pp.311-318, 2018.</w:t>
      </w:r>
    </w:p>
    <w:p>
      <w:pPr>
        <w:spacing w:after="80"/>
        <w:ind w:left="567" w:hanging="567"/>
      </w:pPr>
      <w:r>
        <w:rPr>
          <w:sz w:val="19"/>
        </w:rPr>
        <w:t>[7] Sandler, M., Howard, A., Zhu, M., Zhmoginov, A. and Chen, L.C. "MobileNetV2: Inverted Residuals and Linear Bottlenecks." IEEE/CVF Conference on Computer Vision and Pattern Recognition (CVPR), 2018.</w:t>
      </w:r>
    </w:p>
    <w:p>
      <w:pPr>
        <w:spacing w:after="80"/>
        <w:ind w:left="567" w:hanging="567"/>
      </w:pPr>
      <w:r>
        <w:rPr>
          <w:sz w:val="19"/>
        </w:rPr>
        <w:t>[8] He, K., Zhang, X., Ren, S. and Sun, J. "Deep Residual Learning for Image Recognition." IEEE/CVF Conference on Computer Vision and Pattern Recognition (CVPR), pp.770-778, 2016.</w:t>
      </w:r>
    </w:p>
    <w:p>
      <w:pPr>
        <w:spacing w:after="80"/>
        <w:ind w:left="567" w:hanging="567"/>
      </w:pPr>
      <w:r>
        <w:rPr>
          <w:sz w:val="19"/>
        </w:rPr>
        <w:t>[9] Tan, M. and Le, Q.V. "EfficientNet: Rethinking Model Scaling for Convolutional Neural Networks." International Conference on Machine Learning (ICML), 2019.</w:t>
      </w:r>
    </w:p>
    <w:p>
      <w:pPr>
        <w:spacing w:after="80"/>
        <w:ind w:left="567" w:hanging="567"/>
      </w:pPr>
      <w:r>
        <w:rPr>
          <w:sz w:val="19"/>
        </w:rPr>
        <w:t>[10] Huang, G., Liu, Z., Van Der Maaten, L. and Weinberger, K.Q. "Densely Connected Convolutional Networks." IEEE/CVF Conference on Computer Vision and Pattern Recognition (CVPR), pp.2261-2269, 2017.</w:t>
      </w:r>
    </w:p>
    <w:p>
      <w:pPr>
        <w:spacing w:after="80"/>
        <w:ind w:left="567" w:hanging="567"/>
      </w:pPr>
      <w:r>
        <w:rPr>
          <w:sz w:val="19"/>
        </w:rPr>
        <w:t>[11] Ribeiro, M.T., Singh, S. and Guestrin, C. "Why should I trust you?: Explaining the predictions of any classifier." ACM SIGKDD International Conference on Knowledge Discovery and Data Mining, pp.1135-1144, 2016.</w:t>
      </w:r>
    </w:p>
    <w:p>
      <w:pPr>
        <w:spacing w:after="80"/>
        <w:ind w:left="567" w:hanging="567"/>
      </w:pPr>
      <w:r>
        <w:rPr>
          <w:sz w:val="19"/>
        </w:rPr>
        <w:t>[12] Lundberg, S.M. and Lee, S.I. "A Unified Approach to Interpreting Model Predictions." Advances in Neural Information Processing Systems (NeurIPS), 2017.</w:t>
      </w:r>
    </w:p>
    <w:p>
      <w:pPr>
        <w:spacing w:after="80"/>
        <w:ind w:left="567" w:hanging="567"/>
      </w:pPr>
      <w:r>
        <w:rPr>
          <w:sz w:val="19"/>
        </w:rPr>
        <w:t>[13] Arrieta, A.B., Díaz-Rodríguez, N., Del Ser, J., et al. "Explainable Artificial Intelligence (XAI): Concepts, taxonomies, opportunities and challenges toward responsible AI." Information Fusion, 58, pp.82-115, 2020.</w:t>
      </w:r>
    </w:p>
    <w:p>
      <w:pPr>
        <w:spacing w:after="80"/>
        <w:ind w:left="567" w:hanging="567"/>
      </w:pPr>
      <w:r>
        <w:rPr>
          <w:sz w:val="19"/>
        </w:rPr>
        <w:t>[14] Hendriks, S., Schulz, H. and Behnke, S. "Visual Explanations for Deep Neural Networks in Plant Disease Detection." Frontiers in Artificial Intelligence, 2022.</w:t>
      </w:r>
    </w:p>
    <w:p>
      <w:pPr>
        <w:spacing w:after="80"/>
        <w:ind w:left="567" w:hanging="567"/>
      </w:pPr>
      <w:r>
        <w:rPr>
          <w:sz w:val="19"/>
        </w:rPr>
        <w:t>[15] ISRIC -- World Soil Information. "SoilGrids v2.0: Global gridded soil information." https://rest.isric.org/soilgrids/v2.0/, 2020.</w:t>
      </w:r>
    </w:p>
    <w:p/>
    <w:p>
      <w:pPr>
        <w:jc w:val="center"/>
      </w:pPr>
      <w:r>
        <w:rPr>
          <w:i/>
          <w:color w:val="969696"/>
          <w:sz w:val="18"/>
        </w:rPr>
        <w:t>--- End of Report ---</w:t>
        <w:br/>
        <w:t>Generated by AGRI-X AI Research Report Tool | August 20,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23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1A237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