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sz w:val="40"/>
        </w:rPr>
        <w:t>CASCI — Baseline Query Problem Statements</w:t>
      </w:r>
    </w:p>
    <w:p>
      <w:pPr>
        <w:jc w:val="center"/>
      </w:pPr>
      <w:r>
        <w:rPr>
          <w:color w:val="404040"/>
          <w:sz w:val="24"/>
        </w:rPr>
        <w:t>Composable Agentic Supply Chain Intelligence — Promotional Event Scenario Planning</w:t>
        <w:br/>
        <w:t>7 Foundational Data Problems &amp; the Queries That Solve Them</w:t>
      </w:r>
    </w:p>
    <w:p/>
    <w:p>
      <w:pPr>
        <w:pStyle w:val="Heading1"/>
        <w:jc w:val="left"/>
      </w:pPr>
      <w:r>
        <w:rPr>
          <w:color w:val="1F3864"/>
        </w:rPr>
        <w:t>Overview</w:t>
      </w:r>
    </w:p>
    <w:p>
      <w:r>
        <w:rPr>
          <w:sz w:val="22"/>
        </w:rPr>
        <w:t>Each of the 7 queries in the Baseline Events workbook solves a distinct analytical problem that a human planner would have to answer manually before making a pre-stage inventory decision. Taken together, they give the CASCI agent the complete picture it needs to generate Conservative, Moderate, and Aggressive scenarios with grounded demand estimates, supply feasibility checks, and deterministic financial impacts.</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3864"/>
          </w:tcPr>
          <w:p>
            <w:r>
              <w:rPr>
                <w:b/>
                <w:color w:val="FFFFFF"/>
                <w:sz w:val="20"/>
              </w:rPr>
              <w:t>#</w:t>
            </w:r>
          </w:p>
        </w:tc>
        <w:tc>
          <w:tcPr>
            <w:tcW w:type="dxa" w:w="2351"/>
            <w:shd w:val="clear" w:color="auto" w:fill="1F3864"/>
          </w:tcPr>
          <w:p>
            <w:r>
              <w:rPr>
                <w:b/>
                <w:color w:val="FFFFFF"/>
                <w:sz w:val="20"/>
              </w:rPr>
              <w:t>Query Name</w:t>
            </w:r>
          </w:p>
        </w:tc>
        <w:tc>
          <w:tcPr>
            <w:tcW w:type="dxa" w:w="2351"/>
            <w:shd w:val="clear" w:color="auto" w:fill="1F3864"/>
          </w:tcPr>
          <w:p>
            <w:r>
              <w:rPr>
                <w:b/>
                <w:color w:val="FFFFFF"/>
                <w:sz w:val="20"/>
              </w:rPr>
              <w:t>Agent</w:t>
            </w:r>
          </w:p>
        </w:tc>
        <w:tc>
          <w:tcPr>
            <w:tcW w:type="dxa" w:w="2351"/>
            <w:shd w:val="clear" w:color="auto" w:fill="1F3864"/>
          </w:tcPr>
          <w:p>
            <w:r>
              <w:rPr>
                <w:b/>
                <w:color w:val="FFFFFF"/>
                <w:sz w:val="20"/>
              </w:rPr>
              <w:t>Core Question</w:t>
            </w:r>
          </w:p>
        </w:tc>
      </w:tr>
      <w:tr>
        <w:tc>
          <w:tcPr>
            <w:tcW w:type="dxa" w:w="2351"/>
            <w:shd w:val="clear" w:color="auto" w:fill="FFFFFF"/>
          </w:tcPr>
          <w:p>
            <w:r>
              <w:rPr>
                <w:sz w:val="19"/>
              </w:rPr>
              <w:t>1</w:t>
            </w:r>
          </w:p>
        </w:tc>
        <w:tc>
          <w:tcPr>
            <w:tcW w:type="dxa" w:w="2351"/>
            <w:shd w:val="clear" w:color="auto" w:fill="FFFFFF"/>
          </w:tcPr>
          <w:p>
            <w:r>
              <w:rPr>
                <w:sz w:val="19"/>
              </w:rPr>
              <w:t>Customer + Event Identification</w:t>
            </w:r>
          </w:p>
        </w:tc>
        <w:tc>
          <w:tcPr>
            <w:tcW w:type="dxa" w:w="2351"/>
            <w:shd w:val="clear" w:color="auto" w:fill="FFFFFF"/>
          </w:tcPr>
          <w:p>
            <w:r>
              <w:rPr>
                <w:sz w:val="19"/>
              </w:rPr>
              <w:t>Orchestrator</w:t>
            </w:r>
          </w:p>
        </w:tc>
        <w:tc>
          <w:tcPr>
            <w:tcW w:type="dxa" w:w="2351"/>
            <w:shd w:val="clear" w:color="auto" w:fill="FFFFFF"/>
          </w:tcPr>
          <w:p>
            <w:r>
              <w:rPr>
                <w:sz w:val="19"/>
              </w:rPr>
              <w:t>What is the full context of the promotional event — which product, at which loca...</w:t>
            </w:r>
          </w:p>
        </w:tc>
      </w:tr>
      <w:tr>
        <w:tc>
          <w:tcPr>
            <w:tcW w:type="dxa" w:w="2351"/>
            <w:shd w:val="clear" w:color="auto" w:fill="EBF3FB"/>
          </w:tcPr>
          <w:p>
            <w:r>
              <w:rPr>
                <w:sz w:val="19"/>
              </w:rPr>
              <w:t>2</w:t>
            </w:r>
          </w:p>
        </w:tc>
        <w:tc>
          <w:tcPr>
            <w:tcW w:type="dxa" w:w="2351"/>
            <w:shd w:val="clear" w:color="auto" w:fill="EBF3FB"/>
          </w:tcPr>
          <w:p>
            <w:r>
              <w:rPr>
                <w:sz w:val="19"/>
              </w:rPr>
              <w:t>Planned vs Actual Uplift</w:t>
            </w:r>
          </w:p>
        </w:tc>
        <w:tc>
          <w:tcPr>
            <w:tcW w:type="dxa" w:w="2351"/>
            <w:shd w:val="clear" w:color="auto" w:fill="EBF3FB"/>
          </w:tcPr>
          <w:p>
            <w:r>
              <w:rPr>
                <w:sz w:val="19"/>
              </w:rPr>
              <w:t>Demand Decomposition Agent</w:t>
            </w:r>
          </w:p>
        </w:tc>
        <w:tc>
          <w:tcPr>
            <w:tcW w:type="dxa" w:w="2351"/>
            <w:shd w:val="clear" w:color="auto" w:fill="EBF3FB"/>
          </w:tcPr>
          <w:p>
            <w:r>
              <w:rPr>
                <w:sz w:val="19"/>
              </w:rPr>
              <w:t>What did the planner expect demand to look like at T-14 (14 days before the even...</w:t>
            </w:r>
          </w:p>
        </w:tc>
      </w:tr>
      <w:tr>
        <w:tc>
          <w:tcPr>
            <w:tcW w:type="dxa" w:w="2351"/>
            <w:shd w:val="clear" w:color="auto" w:fill="FFFFFF"/>
          </w:tcPr>
          <w:p>
            <w:r>
              <w:rPr>
                <w:sz w:val="19"/>
              </w:rPr>
              <w:t>3</w:t>
            </w:r>
          </w:p>
        </w:tc>
        <w:tc>
          <w:tcPr>
            <w:tcW w:type="dxa" w:w="2351"/>
            <w:shd w:val="clear" w:color="auto" w:fill="FFFFFF"/>
          </w:tcPr>
          <w:p>
            <w:r>
              <w:rPr>
                <w:sz w:val="19"/>
              </w:rPr>
              <w:t>OOS + Overstock + Service Levels</w:t>
            </w:r>
          </w:p>
        </w:tc>
        <w:tc>
          <w:tcPr>
            <w:tcW w:type="dxa" w:w="2351"/>
            <w:shd w:val="clear" w:color="auto" w:fill="FFFFFF"/>
          </w:tcPr>
          <w:p>
            <w:r>
              <w:rPr>
                <w:sz w:val="19"/>
              </w:rPr>
              <w:t>Supply Constraint Agent</w:t>
            </w:r>
          </w:p>
        </w:tc>
        <w:tc>
          <w:tcPr>
            <w:tcW w:type="dxa" w:w="2351"/>
            <w:shd w:val="clear" w:color="auto" w:fill="FFFFFF"/>
          </w:tcPr>
          <w:p>
            <w:r>
              <w:rPr>
                <w:sz w:val="19"/>
              </w:rPr>
              <w:t>Did this product experience stockouts or overstock in the 8 weeks before and 6 w...</w:t>
            </w:r>
          </w:p>
        </w:tc>
      </w:tr>
      <w:tr>
        <w:tc>
          <w:tcPr>
            <w:tcW w:type="dxa" w:w="2351"/>
            <w:shd w:val="clear" w:color="auto" w:fill="EBF3FB"/>
          </w:tcPr>
          <w:p>
            <w:r>
              <w:rPr>
                <w:sz w:val="19"/>
              </w:rPr>
              <w:t>4</w:t>
            </w:r>
          </w:p>
        </w:tc>
        <w:tc>
          <w:tcPr>
            <w:tcW w:type="dxa" w:w="2351"/>
            <w:shd w:val="clear" w:color="auto" w:fill="EBF3FB"/>
          </w:tcPr>
          <w:p>
            <w:r>
              <w:rPr>
                <w:sz w:val="19"/>
              </w:rPr>
              <w:t>Comparable Event Matching + Lift Ratios</w:t>
            </w:r>
          </w:p>
        </w:tc>
        <w:tc>
          <w:tcPr>
            <w:tcW w:type="dxa" w:w="2351"/>
            <w:shd w:val="clear" w:color="auto" w:fill="EBF3FB"/>
          </w:tcPr>
          <w:p>
            <w:r>
              <w:rPr>
                <w:sz w:val="19"/>
              </w:rPr>
              <w:t>Demand Decomposition Agent</w:t>
            </w:r>
          </w:p>
        </w:tc>
        <w:tc>
          <w:tcPr>
            <w:tcW w:type="dxa" w:w="2351"/>
            <w:shd w:val="clear" w:color="auto" w:fill="EBF3FB"/>
          </w:tcPr>
          <w:p>
            <w:r>
              <w:rPr>
                <w:sz w:val="19"/>
              </w:rPr>
              <w:t>What do similar past promotions tell us about realistic lift ranges — and how co...</w:t>
            </w:r>
          </w:p>
        </w:tc>
      </w:tr>
      <w:tr>
        <w:tc>
          <w:tcPr>
            <w:tcW w:type="dxa" w:w="2351"/>
            <w:shd w:val="clear" w:color="auto" w:fill="FFFFFF"/>
          </w:tcPr>
          <w:p>
            <w:r>
              <w:rPr>
                <w:sz w:val="19"/>
              </w:rPr>
              <w:t>5</w:t>
            </w:r>
          </w:p>
        </w:tc>
        <w:tc>
          <w:tcPr>
            <w:tcW w:type="dxa" w:w="2351"/>
            <w:shd w:val="clear" w:color="auto" w:fill="FFFFFF"/>
          </w:tcPr>
          <w:p>
            <w:r>
              <w:rPr>
                <w:sz w:val="19"/>
              </w:rPr>
              <w:t>Supply Constraint Snapshot at T-14</w:t>
            </w:r>
          </w:p>
        </w:tc>
        <w:tc>
          <w:tcPr>
            <w:tcW w:type="dxa" w:w="2351"/>
            <w:shd w:val="clear" w:color="auto" w:fill="FFFFFF"/>
          </w:tcPr>
          <w:p>
            <w:r>
              <w:rPr>
                <w:sz w:val="19"/>
              </w:rPr>
              <w:t>Supply Constraint Agent</w:t>
            </w:r>
          </w:p>
        </w:tc>
        <w:tc>
          <w:tcPr>
            <w:tcW w:type="dxa" w:w="2351"/>
            <w:shd w:val="clear" w:color="auto" w:fill="FFFFFF"/>
          </w:tcPr>
          <w:p>
            <w:r>
              <w:rPr>
                <w:sz w:val="19"/>
              </w:rPr>
              <w:t>Exactly 14 days before the event, what was the inventory position and sourcing c...</w:t>
            </w:r>
          </w:p>
        </w:tc>
      </w:tr>
      <w:tr>
        <w:tc>
          <w:tcPr>
            <w:tcW w:type="dxa" w:w="2351"/>
            <w:shd w:val="clear" w:color="auto" w:fill="EBF3FB"/>
          </w:tcPr>
          <w:p>
            <w:r>
              <w:rPr>
                <w:sz w:val="19"/>
              </w:rPr>
              <w:t>6</w:t>
            </w:r>
          </w:p>
        </w:tc>
        <w:tc>
          <w:tcPr>
            <w:tcW w:type="dxa" w:w="2351"/>
            <w:shd w:val="clear" w:color="auto" w:fill="EBF3FB"/>
          </w:tcPr>
          <w:p>
            <w:r>
              <w:rPr>
                <w:sz w:val="19"/>
              </w:rPr>
              <w:t>Financial Inputs at T-14</w:t>
            </w:r>
          </w:p>
        </w:tc>
        <w:tc>
          <w:tcPr>
            <w:tcW w:type="dxa" w:w="2351"/>
            <w:shd w:val="clear" w:color="auto" w:fill="EBF3FB"/>
          </w:tcPr>
          <w:p>
            <w:r>
              <w:rPr>
                <w:sz w:val="19"/>
              </w:rPr>
              <w:t>Financial Impact Agent</w:t>
            </w:r>
          </w:p>
        </w:tc>
        <w:tc>
          <w:tcPr>
            <w:tcW w:type="dxa" w:w="2351"/>
            <w:shd w:val="clear" w:color="auto" w:fill="EBF3FB"/>
          </w:tcPr>
          <w:p>
            <w:r>
              <w:rPr>
                <w:sz w:val="19"/>
              </w:rPr>
              <w:t>What are the unit economics — cost, price, carrying rate, and margin guardrails ...</w:t>
            </w:r>
          </w:p>
        </w:tc>
      </w:tr>
      <w:tr>
        <w:tc>
          <w:tcPr>
            <w:tcW w:type="dxa" w:w="2351"/>
            <w:shd w:val="clear" w:color="auto" w:fill="FFFFFF"/>
          </w:tcPr>
          <w:p>
            <w:r>
              <w:rPr>
                <w:sz w:val="19"/>
              </w:rPr>
              <w:t>7</w:t>
            </w:r>
          </w:p>
        </w:tc>
        <w:tc>
          <w:tcPr>
            <w:tcW w:type="dxa" w:w="2351"/>
            <w:shd w:val="clear" w:color="auto" w:fill="FFFFFF"/>
          </w:tcPr>
          <w:p>
            <w:r>
              <w:rPr>
                <w:sz w:val="19"/>
              </w:rPr>
              <w:t>Cannibalization Candidates</w:t>
            </w:r>
          </w:p>
        </w:tc>
        <w:tc>
          <w:tcPr>
            <w:tcW w:type="dxa" w:w="2351"/>
            <w:shd w:val="clear" w:color="auto" w:fill="FFFFFF"/>
          </w:tcPr>
          <w:p>
            <w:r>
              <w:rPr>
                <w:sz w:val="19"/>
              </w:rPr>
              <w:t>Demand Decomposition Agent</w:t>
            </w:r>
          </w:p>
        </w:tc>
        <w:tc>
          <w:tcPr>
            <w:tcW w:type="dxa" w:w="2351"/>
            <w:shd w:val="clear" w:color="auto" w:fill="FFFFFF"/>
          </w:tcPr>
          <w:p>
            <w:r>
              <w:rPr>
                <w:sz w:val="19"/>
              </w:rPr>
              <w:t>Which substitute SKUs in the same product class, at the same location, are likel...</w:t>
            </w:r>
          </w:p>
        </w:tc>
      </w:tr>
    </w:tbl>
    <w:p>
      <w:r>
        <w:br w:type="page"/>
      </w:r>
    </w:p>
    <w:p>
      <w:pPr>
        <w:pStyle w:val="Heading1"/>
        <w:jc w:val="left"/>
      </w:pPr>
      <w:r>
        <w:rPr>
          <w:color w:val="1F3864"/>
        </w:rPr>
        <w:t>Query 1 — Customer + Event Identification</w:t>
      </w:r>
    </w:p>
    <w:p>
      <w:pPr>
        <w:spacing w:before="80" w:after="160"/>
        <w:ind w:left="288"/>
      </w:pPr>
      <w:r>
        <w:rPr>
          <w:b/>
          <w:color w:val="C00000"/>
          <w:sz w:val="22"/>
        </w:rPr>
        <w:t xml:space="preserve">Problem Statement:  </w:t>
      </w:r>
      <w:r>
        <w:rPr>
          <w:i/>
          <w:sz w:val="22"/>
        </w:rPr>
        <w:t>What is the full context of the promotional event — which product, at which location, for which customer — and what did the planner originally intend to achieve?</w:t>
      </w:r>
    </w:p>
    <w:p>
      <w:pPr>
        <w:pStyle w:val="Heading2"/>
        <w:jc w:val="left"/>
      </w:pPr>
      <w:r>
        <w:rPr>
          <w:color w:val="2E75B6"/>
        </w:rPr>
        <w:t>Why This Problem Matters</w:t>
      </w:r>
    </w:p>
    <w:p>
      <w:pPr>
        <w:spacing w:after="160"/>
      </w:pPr>
      <w:r>
        <w:rPr>
          <w:sz w:val="22"/>
        </w:rPr>
        <w:t>Before any analysis can begin, the agent needs to know the exact scope of the event. Promotions in Blue Ridge span multiple product-location-customer combinations (tracked via event_prod_loc_cust_xref). Without this anchor, downstream queries have no join key and the agent cannot distinguish one event from another. This query also surfaces the planner's original intent — planned uplift, expected demand, and order quantity — which is the baseline against which AI recommendations are compared.</w:t>
      </w:r>
    </w:p>
    <w:p>
      <w:pPr>
        <w:spacing w:after="40"/>
      </w:pPr>
      <w:r>
        <w:rPr>
          <w:b/>
          <w:sz w:val="22"/>
        </w:rPr>
        <w:t>Source Tables:</w:t>
      </w:r>
    </w:p>
    <w:p>
      <w:pPr>
        <w:pStyle w:val="ListBullet"/>
        <w:spacing w:after="40"/>
        <w:ind w:left="360"/>
      </w:pPr>
      <w:r>
        <w:rPr>
          <w:sz w:val="21"/>
        </w:rPr>
        <w:t>event</w:t>
      </w:r>
    </w:p>
    <w:p>
      <w:pPr>
        <w:pStyle w:val="ListBullet"/>
        <w:spacing w:after="40"/>
        <w:ind w:left="360"/>
      </w:pPr>
      <w:r>
        <w:rPr>
          <w:sz w:val="21"/>
        </w:rPr>
        <w:t>event_prod_loc_cust_xref</w:t>
      </w:r>
    </w:p>
    <w:p>
      <w:pPr>
        <w:pStyle w:val="ListBullet"/>
        <w:spacing w:after="40"/>
        <w:ind w:left="360"/>
      </w:pPr>
      <w:r>
        <w:rPr>
          <w:sz w:val="21"/>
        </w:rPr>
        <w:t>product_location_customer_xref</w:t>
      </w:r>
    </w:p>
    <w:p>
      <w:pPr>
        <w:pStyle w:val="ListBullet"/>
        <w:spacing w:after="40"/>
        <w:ind w:left="360"/>
      </w:pPr>
      <w:r>
        <w:rPr>
          <w:sz w:val="21"/>
        </w:rPr>
        <w:t>product</w:t>
      </w:r>
    </w:p>
    <w:p>
      <w:pPr>
        <w:pStyle w:val="ListBullet"/>
        <w:spacing w:after="40"/>
        <w:ind w:left="360"/>
      </w:pPr>
      <w:r>
        <w:rPr>
          <w:sz w:val="21"/>
        </w:rPr>
        <w:t>location</w:t>
      </w:r>
    </w:p>
    <w:p>
      <w:pPr>
        <w:pStyle w:val="ListBullet"/>
        <w:spacing w:after="40"/>
        <w:ind w:left="360"/>
      </w:pPr>
      <w:r>
        <w:rPr>
          <w:sz w:val="21"/>
        </w:rPr>
        <w:t>customer</w:t>
      </w:r>
    </w:p>
    <w:p>
      <w:pPr>
        <w:pStyle w:val="ListBullet"/>
        <w:spacing w:after="40"/>
        <w:ind w:left="360"/>
      </w:pPr>
      <w:r>
        <w:rPr>
          <w:sz w:val="21"/>
        </w:rPr>
        <w:t>product_class</w:t>
      </w:r>
    </w:p>
    <w:p>
      <w:pPr>
        <w:pStyle w:val="ListBullet"/>
        <w:spacing w:after="40"/>
        <w:ind w:left="360"/>
      </w:pPr>
      <w:r>
        <w:rPr>
          <w:sz w:val="21"/>
        </w:rPr>
        <w:t>product_group</w:t>
      </w:r>
    </w:p>
    <w:p>
      <w:pPr>
        <w:pStyle w:val="ListBullet"/>
        <w:spacing w:after="40"/>
        <w:ind w:left="360"/>
      </w:pPr>
      <w:r>
        <w:rPr>
          <w:sz w:val="21"/>
        </w:rPr>
        <w:t>product_family</w:t>
      </w:r>
    </w:p>
    <w:p>
      <w:pPr>
        <w:pStyle w:val="ListBullet"/>
        <w:spacing w:after="40"/>
        <w:ind w:left="360"/>
      </w:pPr>
      <w:r>
        <w:rPr>
          <w:sz w:val="21"/>
        </w:rPr>
        <w:t>segment</w:t>
      </w:r>
    </w:p>
    <w:p/>
    <w:p>
      <w:pPr>
        <w:spacing w:after="40"/>
      </w:pPr>
      <w:r>
        <w:rPr>
          <w:b/>
          <w:sz w:val="22"/>
        </w:rPr>
        <w:t>Key Output Columns:</w:t>
      </w:r>
    </w:p>
    <w:p>
      <w:pPr>
        <w:pStyle w:val="ListBullet"/>
        <w:spacing w:after="40"/>
        <w:ind w:left="360"/>
      </w:pPr>
      <w:r>
        <w:rPr>
          <w:sz w:val="21"/>
        </w:rPr>
        <w:t>event_id, event_code, event_name, start_date, end_date, event_duration_days</w:t>
      </w:r>
    </w:p>
    <w:p>
      <w:pPr>
        <w:pStyle w:val="ListBullet"/>
        <w:spacing w:after="40"/>
        <w:ind w:left="360"/>
      </w:pPr>
      <w:r>
        <w:rPr>
          <w:sz w:val="21"/>
        </w:rPr>
        <w:t>product_id, product_class, product_group, product_family</w:t>
      </w:r>
    </w:p>
    <w:p>
      <w:pPr>
        <w:pStyle w:val="ListBullet"/>
        <w:spacing w:after="40"/>
        <w:ind w:left="360"/>
      </w:pPr>
      <w:r>
        <w:rPr>
          <w:sz w:val="21"/>
        </w:rPr>
        <w:t>location_id, customer_id, customer_segment</w:t>
      </w:r>
    </w:p>
    <w:p>
      <w:pPr>
        <w:pStyle w:val="ListBullet"/>
        <w:spacing w:after="40"/>
        <w:ind w:left="360"/>
      </w:pPr>
      <w:r>
        <w:rPr>
          <w:sz w:val="21"/>
        </w:rPr>
        <w:t>planned_uplift_total, planned_demand_total, quantity_ordered</w:t>
      </w:r>
    </w:p>
    <w:p/>
    <w:p>
      <w:pPr>
        <w:spacing w:after="80"/>
      </w:pPr>
      <w:r>
        <w:rPr>
          <w:b/>
          <w:sz w:val="22"/>
        </w:rPr>
        <w:t xml:space="preserve">Consumed by Agent: </w:t>
      </w:r>
      <w:r>
        <w:rPr>
          <w:sz w:val="22"/>
        </w:rPr>
        <w:t>Orchestrator / Demand Decomposition Agent</w:t>
      </w:r>
    </w:p>
    <w:p>
      <w:pPr>
        <w:spacing w:after="80"/>
      </w:pPr>
      <w:r>
        <w:rPr>
          <w:b/>
          <w:sz w:val="22"/>
        </w:rPr>
        <w:t xml:space="preserve">Decision Enabled: </w:t>
      </w:r>
      <w:r>
        <w:rPr>
          <w:sz w:val="22"/>
        </w:rPr>
        <w:t>Establishes the event scope and the planner's baseline expectation. Every other agent's output is contextualized against this.</w:t>
      </w:r>
    </w:p>
    <w:p>
      <w:r>
        <w:br w:type="page"/>
      </w:r>
    </w:p>
    <w:p>
      <w:pPr>
        <w:pStyle w:val="Heading1"/>
        <w:jc w:val="left"/>
      </w:pPr>
      <w:r>
        <w:rPr>
          <w:color w:val="1F3864"/>
        </w:rPr>
        <w:t>Query 2 — Planned vs Actual Uplift</w:t>
      </w:r>
    </w:p>
    <w:p>
      <w:pPr>
        <w:spacing w:before="80" w:after="160"/>
        <w:ind w:left="288"/>
      </w:pPr>
      <w:r>
        <w:rPr>
          <w:b/>
          <w:color w:val="C00000"/>
          <w:sz w:val="22"/>
        </w:rPr>
        <w:t xml:space="preserve">Problem Statement:  </w:t>
      </w:r>
      <w:r>
        <w:rPr>
          <w:i/>
          <w:sz w:val="22"/>
        </w:rPr>
        <w:t>What did the planner expect demand to look like at T-14 (14 days before the event), and what actually happened week-by-week during the event window?</w:t>
      </w:r>
    </w:p>
    <w:p>
      <w:pPr>
        <w:pStyle w:val="Heading2"/>
        <w:jc w:val="left"/>
      </w:pPr>
      <w:r>
        <w:rPr>
          <w:color w:val="2E75B6"/>
        </w:rPr>
        <w:t>Why This Problem Matters</w:t>
      </w:r>
    </w:p>
    <w:p>
      <w:pPr>
        <w:spacing w:after="160"/>
      </w:pPr>
      <w:r>
        <w:rPr>
          <w:sz w:val="22"/>
        </w:rPr>
        <w:t>Promotional planning suffers from a common failure mode: the plan is set weeks in advance, but inventory decisions are made at T-14. By that point, the plan may already be stale. This query captures two views simultaneously: (1) the planned uplift as it existed in the system exactly 14 days before the event — using history tables to reconstruct the T-14 snapshot — and (2) the actual demand that materialized period-by-period from demand_history with signal='event'. The gap between these two views is where planning errors live. The Demand Decomposition Agent uses the actual branch to compute the pre-event baseline weekly average, which anchors all three lift scenarios.</w:t>
      </w:r>
    </w:p>
    <w:p>
      <w:pPr>
        <w:spacing w:after="40"/>
      </w:pPr>
      <w:r>
        <w:rPr>
          <w:b/>
          <w:sz w:val="22"/>
        </w:rPr>
        <w:t>Source Tables:</w:t>
      </w:r>
    </w:p>
    <w:p>
      <w:pPr>
        <w:pStyle w:val="ListBullet"/>
        <w:spacing w:after="40"/>
        <w:ind w:left="360"/>
      </w:pPr>
      <w:r>
        <w:rPr>
          <w:sz w:val="21"/>
        </w:rPr>
        <w:t>event_prod_loc_cust_uplift_History</w:t>
      </w:r>
    </w:p>
    <w:p>
      <w:pPr>
        <w:pStyle w:val="ListBullet"/>
        <w:spacing w:after="40"/>
        <w:ind w:left="360"/>
      </w:pPr>
      <w:r>
        <w:rPr>
          <w:sz w:val="21"/>
        </w:rPr>
        <w:t>event_prod_loc_cust_xref_history</w:t>
      </w:r>
    </w:p>
    <w:p>
      <w:pPr>
        <w:pStyle w:val="ListBullet"/>
        <w:spacing w:after="40"/>
        <w:ind w:left="360"/>
      </w:pPr>
      <w:r>
        <w:rPr>
          <w:sz w:val="21"/>
        </w:rPr>
        <w:t>product_location_customer_xref</w:t>
      </w:r>
    </w:p>
    <w:p>
      <w:pPr>
        <w:pStyle w:val="ListBullet"/>
        <w:spacing w:after="40"/>
        <w:ind w:left="360"/>
      </w:pPr>
      <w:r>
        <w:rPr>
          <w:sz w:val="21"/>
        </w:rPr>
        <w:t>demand_history</w:t>
      </w:r>
    </w:p>
    <w:p>
      <w:pPr>
        <w:pStyle w:val="ListBullet"/>
        <w:spacing w:after="40"/>
        <w:ind w:left="360"/>
      </w:pPr>
      <w:r>
        <w:rPr>
          <w:sz w:val="21"/>
        </w:rPr>
        <w:t>demand_signal</w:t>
      </w:r>
    </w:p>
    <w:p>
      <w:pPr>
        <w:pStyle w:val="ListBullet"/>
        <w:spacing w:after="40"/>
        <w:ind w:left="360"/>
      </w:pPr>
      <w:r>
        <w:rPr>
          <w:sz w:val="21"/>
        </w:rPr>
        <w:t>period</w:t>
      </w:r>
    </w:p>
    <w:p/>
    <w:p>
      <w:pPr>
        <w:spacing w:after="40"/>
      </w:pPr>
      <w:r>
        <w:rPr>
          <w:b/>
          <w:sz w:val="22"/>
        </w:rPr>
        <w:t>Key Output Columns:</w:t>
      </w:r>
    </w:p>
    <w:p>
      <w:pPr>
        <w:pStyle w:val="ListBullet"/>
        <w:spacing w:after="40"/>
        <w:ind w:left="360"/>
      </w:pPr>
      <w:r>
        <w:rPr>
          <w:sz w:val="21"/>
        </w:rPr>
        <w:t>planned_uplift_units per period (from history at T-14)</w:t>
      </w:r>
    </w:p>
    <w:p>
      <w:pPr>
        <w:pStyle w:val="ListBullet"/>
        <w:spacing w:after="40"/>
        <w:ind w:left="360"/>
      </w:pPr>
      <w:r>
        <w:rPr>
          <w:sz w:val="21"/>
        </w:rPr>
        <w:t>actual_event_demand per period (P1–P156 unpivoted)</w:t>
      </w:r>
    </w:p>
    <w:p>
      <w:pPr>
        <w:pStyle w:val="ListBullet"/>
        <w:spacing w:after="40"/>
        <w:ind w:left="360"/>
      </w:pPr>
      <w:r>
        <w:rPr>
          <w:sz w:val="21"/>
        </w:rPr>
        <w:t>baseline_weekly_avg derived from pre-event periods</w:t>
      </w:r>
    </w:p>
    <w:p>
      <w:pPr>
        <w:pStyle w:val="ListBullet"/>
        <w:spacing w:after="40"/>
        <w:ind w:left="360"/>
      </w:pPr>
      <w:r>
        <w:rPr>
          <w:sz w:val="21"/>
        </w:rPr>
        <w:t>planned vs actual gap visible for post-event retrospective</w:t>
      </w:r>
    </w:p>
    <w:p/>
    <w:p>
      <w:pPr>
        <w:spacing w:after="80"/>
      </w:pPr>
      <w:r>
        <w:rPr>
          <w:b/>
          <w:sz w:val="22"/>
        </w:rPr>
        <w:t xml:space="preserve">Consumed by Agent: </w:t>
      </w:r>
      <w:r>
        <w:rPr>
          <w:sz w:val="22"/>
        </w:rPr>
        <w:t>Demand Decomposition Agent</w:t>
      </w:r>
    </w:p>
    <w:p>
      <w:pPr>
        <w:spacing w:after="80"/>
      </w:pPr>
      <w:r>
        <w:rPr>
          <w:b/>
          <w:sz w:val="22"/>
        </w:rPr>
        <w:t xml:space="preserve">Decision Enabled: </w:t>
      </w:r>
      <w:r>
        <w:rPr>
          <w:sz w:val="22"/>
        </w:rPr>
        <w:t>Provides the pre-event baseline weekly demand that all three scenario lift multipliers are applied to. Without this, the agent cannot compute Conservative / Moderate / Aggressive unit totals.</w:t>
      </w:r>
    </w:p>
    <w:p>
      <w:r>
        <w:br w:type="page"/>
      </w:r>
    </w:p>
    <w:p>
      <w:pPr>
        <w:pStyle w:val="Heading1"/>
        <w:jc w:val="left"/>
      </w:pPr>
      <w:r>
        <w:rPr>
          <w:color w:val="1F3864"/>
        </w:rPr>
        <w:t>Query 3 — OOS + Overstock + Service Levels</w:t>
      </w:r>
    </w:p>
    <w:p>
      <w:pPr>
        <w:spacing w:before="80" w:after="160"/>
        <w:ind w:left="288"/>
      </w:pPr>
      <w:r>
        <w:rPr>
          <w:b/>
          <w:color w:val="C00000"/>
          <w:sz w:val="22"/>
        </w:rPr>
        <w:t xml:space="preserve">Problem Statement:  </w:t>
      </w:r>
      <w:r>
        <w:rPr>
          <w:i/>
          <w:sz w:val="22"/>
        </w:rPr>
        <w:t>Did this product experience stockouts or overstock in the 8 weeks before and 6 weeks after the event, and what were the fill rate and service level targets at each point in time?</w:t>
      </w:r>
    </w:p>
    <w:p>
      <w:pPr>
        <w:pStyle w:val="Heading2"/>
        <w:jc w:val="left"/>
      </w:pPr>
      <w:r>
        <w:rPr>
          <w:color w:val="2E75B6"/>
        </w:rPr>
        <w:t>Why This Problem Matters</w:t>
      </w:r>
    </w:p>
    <w:p>
      <w:pPr>
        <w:spacing w:after="160"/>
      </w:pPr>
      <w:r>
        <w:rPr>
          <w:sz w:val="22"/>
        </w:rPr>
        <w:t>Inventory health history is a leading indicator of planning quality. A product that was frequently out-of-stock before the event is a different risk profile than one that was overstocked — the first suggests demand is consistently under-estimated; the second suggests the planner over-ordered in a prior cycle. This query scans product_location_xref_history across a full ±8 week window, flags OOS and overstock conditions, and tracks how safety stock, fill rate goals, and lead times changed over time. The Supply Constraint Agent uses this to contextualize the ATP figure — 'is this a product that regularly runs lean?' — and to flag elevated stockout risk to the Scenario Generator.</w:t>
      </w:r>
    </w:p>
    <w:p>
      <w:pPr>
        <w:spacing w:after="40"/>
      </w:pPr>
      <w:r>
        <w:rPr>
          <w:b/>
          <w:sz w:val="22"/>
        </w:rPr>
        <w:t>Source Tables:</w:t>
      </w:r>
    </w:p>
    <w:p>
      <w:pPr>
        <w:pStyle w:val="ListBullet"/>
        <w:spacing w:after="40"/>
        <w:ind w:left="360"/>
      </w:pPr>
      <w:r>
        <w:rPr>
          <w:sz w:val="21"/>
        </w:rPr>
        <w:t>product_location_xref_history</w:t>
      </w:r>
    </w:p>
    <w:p>
      <w:pPr>
        <w:pStyle w:val="ListBullet"/>
        <w:spacing w:after="40"/>
        <w:ind w:left="360"/>
      </w:pPr>
      <w:r>
        <w:rPr>
          <w:sz w:val="21"/>
        </w:rPr>
        <w:t>event_prod_loc_cust_xref</w:t>
      </w:r>
    </w:p>
    <w:p>
      <w:pPr>
        <w:pStyle w:val="ListBullet"/>
        <w:spacing w:after="40"/>
        <w:ind w:left="360"/>
      </w:pPr>
      <w:r>
        <w:rPr>
          <w:sz w:val="21"/>
        </w:rPr>
        <w:t>product_location_customer_xref</w:t>
      </w:r>
    </w:p>
    <w:p>
      <w:pPr>
        <w:pStyle w:val="ListBullet"/>
        <w:spacing w:after="40"/>
        <w:ind w:left="360"/>
      </w:pPr>
      <w:r>
        <w:rPr>
          <w:sz w:val="21"/>
        </w:rPr>
        <w:t>event</w:t>
      </w:r>
    </w:p>
    <w:p/>
    <w:p>
      <w:pPr>
        <w:spacing w:after="40"/>
      </w:pPr>
      <w:r>
        <w:rPr>
          <w:b/>
          <w:sz w:val="22"/>
        </w:rPr>
        <w:t>Key Output Columns:</w:t>
      </w:r>
    </w:p>
    <w:p>
      <w:pPr>
        <w:pStyle w:val="ListBullet"/>
        <w:spacing w:after="40"/>
        <w:ind w:left="360"/>
      </w:pPr>
      <w:r>
        <w:rPr>
          <w:sz w:val="21"/>
        </w:rPr>
        <w:t>inventory_BOH, inventory_onorder, inventory_backorder per snapshot</w:t>
      </w:r>
    </w:p>
    <w:p>
      <w:pPr>
        <w:pStyle w:val="ListBullet"/>
        <w:spacing w:after="40"/>
        <w:ind w:left="360"/>
      </w:pPr>
      <w:r>
        <w:rPr>
          <w:sz w:val="21"/>
        </w:rPr>
        <w:t>available_to_promise (BOH - reserved + on_order)</w:t>
      </w:r>
    </w:p>
    <w:p>
      <w:pPr>
        <w:pStyle w:val="ListBullet"/>
        <w:spacing w:after="40"/>
        <w:ind w:left="360"/>
      </w:pPr>
      <w:r>
        <w:rPr>
          <w:sz w:val="21"/>
        </w:rPr>
        <w:t>is_oos_flag (BOH &lt;= out_of_stock_point)</w:t>
      </w:r>
    </w:p>
    <w:p>
      <w:pPr>
        <w:pStyle w:val="ListBullet"/>
        <w:spacing w:after="40"/>
        <w:ind w:left="360"/>
      </w:pPr>
      <w:r>
        <w:rPr>
          <w:sz w:val="21"/>
        </w:rPr>
        <w:t>is_overstock_flag (overstock_units &gt; 0)</w:t>
      </w:r>
    </w:p>
    <w:p>
      <w:pPr>
        <w:pStyle w:val="ListBullet"/>
        <w:spacing w:after="40"/>
        <w:ind w:left="360"/>
      </w:pPr>
      <w:r>
        <w:rPr>
          <w:sz w:val="21"/>
        </w:rPr>
        <w:t>fill_rate_goal, service_level_objective at each snapshot</w:t>
      </w:r>
    </w:p>
    <w:p>
      <w:pPr>
        <w:pStyle w:val="ListBullet"/>
        <w:spacing w:after="40"/>
        <w:ind w:left="360"/>
      </w:pPr>
      <w:r>
        <w:rPr>
          <w:sz w:val="21"/>
        </w:rPr>
        <w:t>lead_time_days over the window</w:t>
      </w:r>
    </w:p>
    <w:p>
      <w:pPr>
        <w:pStyle w:val="ListBullet"/>
        <w:spacing w:after="40"/>
        <w:ind w:left="360"/>
      </w:pPr>
      <w:r>
        <w:rPr>
          <w:sz w:val="21"/>
        </w:rPr>
        <w:t>promo_window label: pre / during / post</w:t>
      </w:r>
    </w:p>
    <w:p/>
    <w:p>
      <w:pPr>
        <w:spacing w:after="80"/>
      </w:pPr>
      <w:r>
        <w:rPr>
          <w:b/>
          <w:sz w:val="22"/>
        </w:rPr>
        <w:t xml:space="preserve">Consumed by Agent: </w:t>
      </w:r>
      <w:r>
        <w:rPr>
          <w:sz w:val="22"/>
        </w:rPr>
        <w:t>Supply Constraint Agent</w:t>
      </w:r>
    </w:p>
    <w:p>
      <w:pPr>
        <w:spacing w:after="80"/>
      </w:pPr>
      <w:r>
        <w:rPr>
          <w:b/>
          <w:sz w:val="22"/>
        </w:rPr>
        <w:t xml:space="preserve">Decision Enabled: </w:t>
      </w:r>
      <w:r>
        <w:rPr>
          <w:sz w:val="22"/>
        </w:rPr>
        <w:t>Tells the agent whether this product has a history of inventory problems that should raise or lower confidence in the pre-stage plan. A product with 3 OOS flags in the pre-window needs a larger safety buffer than one with none.</w:t>
      </w:r>
    </w:p>
    <w:p>
      <w:r>
        <w:br w:type="page"/>
      </w:r>
    </w:p>
    <w:p>
      <w:pPr>
        <w:pStyle w:val="Heading1"/>
        <w:jc w:val="left"/>
      </w:pPr>
      <w:r>
        <w:rPr>
          <w:color w:val="1F3864"/>
        </w:rPr>
        <w:t>Query 4 — Comparable Event Matching + Lift Ratios</w:t>
      </w:r>
    </w:p>
    <w:p>
      <w:pPr>
        <w:spacing w:before="80" w:after="160"/>
        <w:ind w:left="288"/>
      </w:pPr>
      <w:r>
        <w:rPr>
          <w:b/>
          <w:color w:val="C00000"/>
          <w:sz w:val="22"/>
        </w:rPr>
        <w:t xml:space="preserve">Problem Statement:  </w:t>
      </w:r>
      <w:r>
        <w:rPr>
          <w:i/>
          <w:sz w:val="22"/>
        </w:rPr>
        <w:t>What do similar past promotions tell us about realistic lift ranges — and how confident should we be in those estimates?</w:t>
      </w:r>
    </w:p>
    <w:p>
      <w:pPr>
        <w:pStyle w:val="Heading2"/>
        <w:jc w:val="left"/>
      </w:pPr>
      <w:r>
        <w:rPr>
          <w:color w:val="2E75B6"/>
        </w:rPr>
        <w:t>Why This Problem Matters</w:t>
      </w:r>
    </w:p>
    <w:p>
      <w:pPr>
        <w:spacing w:after="160"/>
      </w:pPr>
      <w:r>
        <w:rPr>
          <w:sz w:val="22"/>
        </w:rPr>
        <w:t>This is the most analytically critical query in the workbook. The agent cannot invent lift assumptions from thin air — they must be grounded in historical evidence. This query implements a three-CTE pipeline: (1) anchor extracts the product group and customer segment of the target event; (2) comparable_events finds all past completed events in the same product group and customer segment; (3) comp_lift computes actual lift ratios for each comparable by dividing actual sales during the event by the pre-event 8-week baseline. PERCENTILE_CONT then derives p25 (Conservative), p50 (Moderate), and p75 (Aggressive) lift multipliers. The confidence tier (HIGH / MEDIUM / LOW) is set by comparable count: &gt;=3 is HIGH, &gt;=1 is MEDIUM, 0 is LOW with default fallback values. The LLM never computes these numbers — they arrive as pre-calculated facts.</w:t>
      </w:r>
    </w:p>
    <w:p>
      <w:pPr>
        <w:spacing w:after="40"/>
      </w:pPr>
      <w:r>
        <w:rPr>
          <w:b/>
          <w:sz w:val="22"/>
        </w:rPr>
        <w:t>Source Tables:</w:t>
      </w:r>
    </w:p>
    <w:p>
      <w:pPr>
        <w:pStyle w:val="ListBullet"/>
        <w:spacing w:after="40"/>
        <w:ind w:left="360"/>
      </w:pPr>
      <w:r>
        <w:rPr>
          <w:sz w:val="21"/>
        </w:rPr>
        <w:t>event</w:t>
      </w:r>
    </w:p>
    <w:p>
      <w:pPr>
        <w:pStyle w:val="ListBullet"/>
        <w:spacing w:after="40"/>
        <w:ind w:left="360"/>
      </w:pPr>
      <w:r>
        <w:rPr>
          <w:sz w:val="21"/>
        </w:rPr>
        <w:t>event_prod_loc_cust_xref</w:t>
      </w:r>
    </w:p>
    <w:p>
      <w:pPr>
        <w:pStyle w:val="ListBullet"/>
        <w:spacing w:after="40"/>
        <w:ind w:left="360"/>
      </w:pPr>
      <w:r>
        <w:rPr>
          <w:sz w:val="21"/>
        </w:rPr>
        <w:t>product_location_customer_xref</w:t>
      </w:r>
    </w:p>
    <w:p>
      <w:pPr>
        <w:pStyle w:val="ListBullet"/>
        <w:spacing w:after="40"/>
        <w:ind w:left="360"/>
      </w:pPr>
      <w:r>
        <w:rPr>
          <w:sz w:val="21"/>
        </w:rPr>
        <w:t>product</w:t>
      </w:r>
    </w:p>
    <w:p>
      <w:pPr>
        <w:pStyle w:val="ListBullet"/>
        <w:spacing w:after="40"/>
        <w:ind w:left="360"/>
      </w:pPr>
      <w:r>
        <w:rPr>
          <w:sz w:val="21"/>
        </w:rPr>
        <w:t>product_group</w:t>
      </w:r>
    </w:p>
    <w:p>
      <w:pPr>
        <w:pStyle w:val="ListBullet"/>
        <w:spacing w:after="40"/>
        <w:ind w:left="360"/>
      </w:pPr>
      <w:r>
        <w:rPr>
          <w:sz w:val="21"/>
        </w:rPr>
        <w:t>customer</w:t>
      </w:r>
    </w:p>
    <w:p>
      <w:pPr>
        <w:pStyle w:val="ListBullet"/>
        <w:spacing w:after="40"/>
        <w:ind w:left="360"/>
      </w:pPr>
      <w:r>
        <w:rPr>
          <w:sz w:val="21"/>
        </w:rPr>
        <w:t>segment</w:t>
      </w:r>
    </w:p>
    <w:p>
      <w:pPr>
        <w:pStyle w:val="ListBullet"/>
        <w:spacing w:after="40"/>
        <w:ind w:left="360"/>
      </w:pPr>
      <w:r>
        <w:rPr>
          <w:sz w:val="21"/>
        </w:rPr>
        <w:t>demand_history</w:t>
      </w:r>
    </w:p>
    <w:p>
      <w:pPr>
        <w:pStyle w:val="ListBullet"/>
        <w:spacing w:after="40"/>
        <w:ind w:left="360"/>
      </w:pPr>
      <w:r>
        <w:rPr>
          <w:sz w:val="21"/>
        </w:rPr>
        <w:t>demand_signal</w:t>
      </w:r>
    </w:p>
    <w:p>
      <w:pPr>
        <w:pStyle w:val="ListBullet"/>
        <w:spacing w:after="40"/>
        <w:ind w:left="360"/>
      </w:pPr>
      <w:r>
        <w:rPr>
          <w:sz w:val="21"/>
        </w:rPr>
        <w:t>period</w:t>
      </w:r>
    </w:p>
    <w:p/>
    <w:p>
      <w:pPr>
        <w:spacing w:after="40"/>
      </w:pPr>
      <w:r>
        <w:rPr>
          <w:b/>
          <w:sz w:val="22"/>
        </w:rPr>
        <w:t>Key Output Columns:</w:t>
      </w:r>
    </w:p>
    <w:p>
      <w:pPr>
        <w:pStyle w:val="ListBullet"/>
        <w:spacing w:after="40"/>
        <w:ind w:left="360"/>
      </w:pPr>
      <w:r>
        <w:rPr>
          <w:sz w:val="21"/>
        </w:rPr>
        <w:t>comparable_count and confidence_tier (HIGH / MEDIUM / LOW)</w:t>
      </w:r>
    </w:p>
    <w:p>
      <w:pPr>
        <w:pStyle w:val="ListBullet"/>
        <w:spacing w:after="40"/>
        <w:ind w:left="360"/>
      </w:pPr>
      <w:r>
        <w:rPr>
          <w:sz w:val="21"/>
        </w:rPr>
        <w:t>conservative_lift_p25 — anchor for Conservative scenario</w:t>
      </w:r>
    </w:p>
    <w:p>
      <w:pPr>
        <w:pStyle w:val="ListBullet"/>
        <w:spacing w:after="40"/>
        <w:ind w:left="360"/>
      </w:pPr>
      <w:r>
        <w:rPr>
          <w:sz w:val="21"/>
        </w:rPr>
        <w:t>moderate_lift_p50 — anchor for Moderate scenario (recommended default)</w:t>
      </w:r>
    </w:p>
    <w:p>
      <w:pPr>
        <w:pStyle w:val="ListBullet"/>
        <w:spacing w:after="40"/>
        <w:ind w:left="360"/>
      </w:pPr>
      <w:r>
        <w:rPr>
          <w:sz w:val="21"/>
        </w:rPr>
        <w:t>aggressive_lift_p75 — anchor for Aggressive scenario</w:t>
      </w:r>
    </w:p>
    <w:p>
      <w:pPr>
        <w:pStyle w:val="ListBullet"/>
        <w:spacing w:after="40"/>
        <w:ind w:left="360"/>
      </w:pPr>
      <w:r>
        <w:rPr>
          <w:sz w:val="21"/>
        </w:rPr>
        <w:t>actual_lift_ratio per comparable event</w:t>
      </w:r>
    </w:p>
    <w:p>
      <w:pPr>
        <w:pStyle w:val="ListBullet"/>
        <w:spacing w:after="40"/>
        <w:ind w:left="360"/>
      </w:pPr>
      <w:r>
        <w:rPr>
          <w:sz w:val="21"/>
        </w:rPr>
        <w:t>pre_event_baseline, actual_sales_during, actual_event_uplift, lost_sales_during</w:t>
      </w:r>
    </w:p>
    <w:p/>
    <w:p>
      <w:pPr>
        <w:spacing w:after="80"/>
      </w:pPr>
      <w:r>
        <w:rPr>
          <w:b/>
          <w:sz w:val="22"/>
        </w:rPr>
        <w:t xml:space="preserve">Consumed by Agent: </w:t>
      </w:r>
      <w:r>
        <w:rPr>
          <w:sz w:val="22"/>
        </w:rPr>
        <w:t>Demand Decomposition Agent</w:t>
      </w:r>
    </w:p>
    <w:p>
      <w:pPr>
        <w:spacing w:after="80"/>
      </w:pPr>
      <w:r>
        <w:rPr>
          <w:b/>
          <w:sz w:val="22"/>
        </w:rPr>
        <w:t xml:space="preserve">Decision Enabled: </w:t>
      </w:r>
      <w:r>
        <w:rPr>
          <w:sz w:val="22"/>
        </w:rPr>
        <w:t>Directly sets the three lift multipliers the Scenario Generator uses. Also sets the confidence score that flows through to the financial confidence interval. LOW confidence triggers a planner caveat in the final output.</w:t>
      </w:r>
    </w:p>
    <w:p>
      <w:r>
        <w:br w:type="page"/>
      </w:r>
    </w:p>
    <w:p>
      <w:pPr>
        <w:pStyle w:val="Heading1"/>
        <w:jc w:val="left"/>
      </w:pPr>
      <w:r>
        <w:rPr>
          <w:color w:val="1F3864"/>
        </w:rPr>
        <w:t>Query 5 — Supply Constraint Snapshot at T-14</w:t>
      </w:r>
    </w:p>
    <w:p>
      <w:pPr>
        <w:spacing w:before="80" w:after="160"/>
        <w:ind w:left="288"/>
      </w:pPr>
      <w:r>
        <w:rPr>
          <w:b/>
          <w:color w:val="C00000"/>
          <w:sz w:val="22"/>
        </w:rPr>
        <w:t xml:space="preserve">Problem Statement:  </w:t>
      </w:r>
      <w:r>
        <w:rPr>
          <w:i/>
          <w:sz w:val="22"/>
        </w:rPr>
        <w:t>Exactly 14 days before the event, what was the inventory position and sourcing capacity — and was there enough time and stock to execute a pre-stage order for each scenario?</w:t>
      </w:r>
    </w:p>
    <w:p>
      <w:pPr>
        <w:pStyle w:val="Heading2"/>
        <w:jc w:val="left"/>
      </w:pPr>
      <w:r>
        <w:rPr>
          <w:color w:val="2E75B6"/>
        </w:rPr>
        <w:t>Why This Problem Matters</w:t>
      </w:r>
    </w:p>
    <w:p>
      <w:pPr>
        <w:spacing w:after="160"/>
      </w:pPr>
      <w:r>
        <w:rPr>
          <w:sz w:val="22"/>
        </w:rPr>
        <w:t>The most actionable output of the entire pipeline is the pre-stage order recommendation. But that recommendation is meaningless if the supply chain cannot physically execute it. This query reconstructs the state of the sourcing network as it existed at T-14 using three history tables: product_location_xref_history (inventory), product_sourcing_network_xref_History (order constraints), and sourcing_network_History (lead times). The feasibility flag is computed directly in SQL: if the remaining days until the event start are &gt;= the supplier quoted lead time, pre-staging is feasible. If not, the agent must recommend ATP-only fulfillment. MOQ and max order quantity bound the orderable range for each scenario.</w:t>
      </w:r>
    </w:p>
    <w:p>
      <w:pPr>
        <w:spacing w:after="40"/>
      </w:pPr>
      <w:r>
        <w:rPr>
          <w:b/>
          <w:sz w:val="22"/>
        </w:rPr>
        <w:t>Source Tables:</w:t>
      </w:r>
    </w:p>
    <w:p>
      <w:pPr>
        <w:pStyle w:val="ListBullet"/>
        <w:spacing w:after="40"/>
        <w:ind w:left="360"/>
      </w:pPr>
      <w:r>
        <w:rPr>
          <w:sz w:val="21"/>
        </w:rPr>
        <w:t>event</w:t>
      </w:r>
    </w:p>
    <w:p>
      <w:pPr>
        <w:pStyle w:val="ListBullet"/>
        <w:spacing w:after="40"/>
        <w:ind w:left="360"/>
      </w:pPr>
      <w:r>
        <w:rPr>
          <w:sz w:val="21"/>
        </w:rPr>
        <w:t>event_prod_loc_cust_xref</w:t>
      </w:r>
    </w:p>
    <w:p>
      <w:pPr>
        <w:pStyle w:val="ListBullet"/>
        <w:spacing w:after="40"/>
        <w:ind w:left="360"/>
      </w:pPr>
      <w:r>
        <w:rPr>
          <w:sz w:val="21"/>
        </w:rPr>
        <w:t>product_location_customer_xref</w:t>
      </w:r>
    </w:p>
    <w:p>
      <w:pPr>
        <w:pStyle w:val="ListBullet"/>
        <w:spacing w:after="40"/>
        <w:ind w:left="360"/>
      </w:pPr>
      <w:r>
        <w:rPr>
          <w:sz w:val="21"/>
        </w:rPr>
        <w:t>product_location_xref_history</w:t>
      </w:r>
    </w:p>
    <w:p>
      <w:pPr>
        <w:pStyle w:val="ListBullet"/>
        <w:spacing w:after="40"/>
        <w:ind w:left="360"/>
      </w:pPr>
      <w:r>
        <w:rPr>
          <w:sz w:val="21"/>
        </w:rPr>
        <w:t>product_sourcing_network_xref_History</w:t>
      </w:r>
    </w:p>
    <w:p>
      <w:pPr>
        <w:pStyle w:val="ListBullet"/>
        <w:spacing w:after="40"/>
        <w:ind w:left="360"/>
      </w:pPr>
      <w:r>
        <w:rPr>
          <w:sz w:val="21"/>
        </w:rPr>
        <w:t>sourcing_network</w:t>
      </w:r>
    </w:p>
    <w:p>
      <w:pPr>
        <w:pStyle w:val="ListBullet"/>
        <w:spacing w:after="40"/>
        <w:ind w:left="360"/>
      </w:pPr>
      <w:r>
        <w:rPr>
          <w:sz w:val="21"/>
        </w:rPr>
        <w:t>sourcing_network_History</w:t>
      </w:r>
    </w:p>
    <w:p/>
    <w:p>
      <w:pPr>
        <w:spacing w:after="40"/>
      </w:pPr>
      <w:r>
        <w:rPr>
          <w:b/>
          <w:sz w:val="22"/>
        </w:rPr>
        <w:t>Key Output Columns:</w:t>
      </w:r>
    </w:p>
    <w:p>
      <w:pPr>
        <w:pStyle w:val="ListBullet"/>
        <w:spacing w:after="40"/>
        <w:ind w:left="360"/>
      </w:pPr>
      <w:r>
        <w:rPr>
          <w:sz w:val="21"/>
        </w:rPr>
        <w:t>atp_at_t14 (BOH - reserved + on_order)</w:t>
      </w:r>
    </w:p>
    <w:p>
      <w:pPr>
        <w:pStyle w:val="ListBullet"/>
        <w:spacing w:after="40"/>
        <w:ind w:left="360"/>
      </w:pPr>
      <w:r>
        <w:rPr>
          <w:sz w:val="21"/>
        </w:rPr>
        <w:t>pl_lead_time_days, sn_quoted_lead_time, total_lead_time</w:t>
      </w:r>
    </w:p>
    <w:p>
      <w:pPr>
        <w:pStyle w:val="ListBullet"/>
        <w:spacing w:after="40"/>
        <w:ind w:left="360"/>
      </w:pPr>
      <w:r>
        <w:rPr>
          <w:sz w:val="21"/>
        </w:rPr>
        <w:t>moq (minimum order quantity), maximum_order_units</w:t>
      </w:r>
    </w:p>
    <w:p>
      <w:pPr>
        <w:pStyle w:val="ListBullet"/>
        <w:spacing w:after="40"/>
        <w:ind w:left="360"/>
      </w:pPr>
      <w:r>
        <w:rPr>
          <w:sz w:val="21"/>
        </w:rPr>
        <w:t>days_until_event from T-14</w:t>
      </w:r>
    </w:p>
    <w:p>
      <w:pPr>
        <w:pStyle w:val="ListBullet"/>
        <w:spacing w:after="40"/>
        <w:ind w:left="360"/>
      </w:pPr>
      <w:r>
        <w:rPr>
          <w:sz w:val="21"/>
        </w:rPr>
        <w:t>is_prestage_feasible (1 / 0)</w:t>
      </w:r>
    </w:p>
    <w:p>
      <w:pPr>
        <w:pStyle w:val="ListBullet"/>
        <w:spacing w:after="40"/>
        <w:ind w:left="360"/>
      </w:pPr>
      <w:r>
        <w:rPr>
          <w:sz w:val="21"/>
        </w:rPr>
        <w:t>fulfillability_note — plain language label</w:t>
      </w:r>
    </w:p>
    <w:p>
      <w:pPr>
        <w:pStyle w:val="ListBullet"/>
        <w:spacing w:after="40"/>
        <w:ind w:left="360"/>
      </w:pPr>
      <w:r>
        <w:rPr>
          <w:sz w:val="21"/>
        </w:rPr>
        <w:t>order_policy from sourcing network</w:t>
      </w:r>
    </w:p>
    <w:p/>
    <w:p>
      <w:pPr>
        <w:spacing w:after="80"/>
      </w:pPr>
      <w:r>
        <w:rPr>
          <w:b/>
          <w:sz w:val="22"/>
        </w:rPr>
        <w:t xml:space="preserve">Consumed by Agent: </w:t>
      </w:r>
      <w:r>
        <w:rPr>
          <w:sz w:val="22"/>
        </w:rPr>
        <w:t>Supply Constraint Agent</w:t>
      </w:r>
    </w:p>
    <w:p>
      <w:pPr>
        <w:spacing w:after="80"/>
      </w:pPr>
      <w:r>
        <w:rPr>
          <w:b/>
          <w:sz w:val="22"/>
        </w:rPr>
        <w:t xml:space="preserve">Decision Enabled: </w:t>
      </w:r>
      <w:r>
        <w:rPr>
          <w:sz w:val="22"/>
        </w:rPr>
        <w:t>Determines which scenarios are physically executable. If Aggressive requires 3,000 units but max_order_qty is 2,000, the agent must mark it infeasible. This prevents the planner from being handed an impossible recommendation.</w:t>
      </w:r>
    </w:p>
    <w:p>
      <w:r>
        <w:br w:type="page"/>
      </w:r>
    </w:p>
    <w:p>
      <w:pPr>
        <w:pStyle w:val="Heading1"/>
        <w:jc w:val="left"/>
      </w:pPr>
      <w:r>
        <w:rPr>
          <w:color w:val="1F3864"/>
        </w:rPr>
        <w:t>Query 6 — Financial Inputs at T-14</w:t>
      </w:r>
    </w:p>
    <w:p>
      <w:pPr>
        <w:spacing w:before="80" w:after="160"/>
        <w:ind w:left="288"/>
      </w:pPr>
      <w:r>
        <w:rPr>
          <w:b/>
          <w:color w:val="C00000"/>
          <w:sz w:val="22"/>
        </w:rPr>
        <w:t xml:space="preserve">Problem Statement:  </w:t>
      </w:r>
      <w:r>
        <w:rPr>
          <w:i/>
          <w:sz w:val="22"/>
        </w:rPr>
        <w:t>What are the unit economics — cost, price, carrying rate, and margin guardrails — needed to calculate the net financial impact of each scenario?</w:t>
      </w:r>
    </w:p>
    <w:p>
      <w:pPr>
        <w:pStyle w:val="Heading2"/>
        <w:jc w:val="left"/>
      </w:pPr>
      <w:r>
        <w:rPr>
          <w:color w:val="2E75B6"/>
        </w:rPr>
        <w:t>Why This Problem Matters</w:t>
      </w:r>
    </w:p>
    <w:p>
      <w:pPr>
        <w:spacing w:after="160"/>
      </w:pPr>
      <w:r>
        <w:rPr>
          <w:sz w:val="22"/>
        </w:rPr>
        <w:t>The Financial Impact Agent computes all monetary figures deterministically in Python — the LLM never generates a dollar amount. But the formulas need accurate inputs as of T-14, not today's prices. Prices and costs change over time; using the current value would misrepresent the trade-off the planner faced at decision time. This query joins product_location_xref_history at the T-14 snapshot to retrieve unit_cost, unit_price, and carrying_cost_rate. It also pulls segment-level margin guardrails (min_margin, max_margin from customer_segment) so the agent can flag if the recommended scenario would breach margin policy. Event duration (in weeks) is computed from the event dates to drive the carrying cost formula: pre_stage_qty × unit_cost × (rate/52) × rundown_weeks.</w:t>
      </w:r>
    </w:p>
    <w:p>
      <w:pPr>
        <w:spacing w:after="40"/>
      </w:pPr>
      <w:r>
        <w:rPr>
          <w:b/>
          <w:sz w:val="22"/>
        </w:rPr>
        <w:t>Source Tables:</w:t>
      </w:r>
    </w:p>
    <w:p>
      <w:pPr>
        <w:pStyle w:val="ListBullet"/>
        <w:spacing w:after="40"/>
        <w:ind w:left="360"/>
      </w:pPr>
      <w:r>
        <w:rPr>
          <w:sz w:val="21"/>
        </w:rPr>
        <w:t>event</w:t>
      </w:r>
    </w:p>
    <w:p>
      <w:pPr>
        <w:pStyle w:val="ListBullet"/>
        <w:spacing w:after="40"/>
        <w:ind w:left="360"/>
      </w:pPr>
      <w:r>
        <w:rPr>
          <w:sz w:val="21"/>
        </w:rPr>
        <w:t>event_prod_loc_cust_xref</w:t>
      </w:r>
    </w:p>
    <w:p>
      <w:pPr>
        <w:pStyle w:val="ListBullet"/>
        <w:spacing w:after="40"/>
        <w:ind w:left="360"/>
      </w:pPr>
      <w:r>
        <w:rPr>
          <w:sz w:val="21"/>
        </w:rPr>
        <w:t>product_location_customer_xref</w:t>
      </w:r>
    </w:p>
    <w:p>
      <w:pPr>
        <w:pStyle w:val="ListBullet"/>
        <w:spacing w:after="40"/>
        <w:ind w:left="360"/>
      </w:pPr>
      <w:r>
        <w:rPr>
          <w:sz w:val="21"/>
        </w:rPr>
        <w:t>product</w:t>
      </w:r>
    </w:p>
    <w:p>
      <w:pPr>
        <w:pStyle w:val="ListBullet"/>
        <w:spacing w:after="40"/>
        <w:ind w:left="360"/>
      </w:pPr>
      <w:r>
        <w:rPr>
          <w:sz w:val="21"/>
        </w:rPr>
        <w:t>location</w:t>
      </w:r>
    </w:p>
    <w:p>
      <w:pPr>
        <w:pStyle w:val="ListBullet"/>
        <w:spacing w:after="40"/>
        <w:ind w:left="360"/>
      </w:pPr>
      <w:r>
        <w:rPr>
          <w:sz w:val="21"/>
        </w:rPr>
        <w:t>customer</w:t>
      </w:r>
    </w:p>
    <w:p>
      <w:pPr>
        <w:pStyle w:val="ListBullet"/>
        <w:spacing w:after="40"/>
        <w:ind w:left="360"/>
      </w:pPr>
      <w:r>
        <w:rPr>
          <w:sz w:val="21"/>
        </w:rPr>
        <w:t>customer_segment</w:t>
      </w:r>
    </w:p>
    <w:p>
      <w:pPr>
        <w:pStyle w:val="ListBullet"/>
        <w:spacing w:after="40"/>
        <w:ind w:left="360"/>
      </w:pPr>
      <w:r>
        <w:rPr>
          <w:sz w:val="21"/>
        </w:rPr>
        <w:t>product_location_xref_history</w:t>
      </w:r>
    </w:p>
    <w:p/>
    <w:p>
      <w:pPr>
        <w:spacing w:after="40"/>
      </w:pPr>
      <w:r>
        <w:rPr>
          <w:b/>
          <w:sz w:val="22"/>
        </w:rPr>
        <w:t>Key Output Columns:</w:t>
      </w:r>
    </w:p>
    <w:p>
      <w:pPr>
        <w:pStyle w:val="ListBullet"/>
        <w:spacing w:after="40"/>
        <w:ind w:left="360"/>
      </w:pPr>
      <w:r>
        <w:rPr>
          <w:sz w:val="21"/>
        </w:rPr>
        <w:t>unit_cost, unit_price at T-14</w:t>
      </w:r>
    </w:p>
    <w:p>
      <w:pPr>
        <w:pStyle w:val="ListBullet"/>
        <w:spacing w:after="40"/>
        <w:ind w:left="360"/>
      </w:pPr>
      <w:r>
        <w:rPr>
          <w:sz w:val="21"/>
        </w:rPr>
        <w:t>carrying_cost_rate (annual, e.g. 0.25 = 25%)</w:t>
      </w:r>
    </w:p>
    <w:p>
      <w:pPr>
        <w:pStyle w:val="ListBullet"/>
        <w:spacing w:after="40"/>
        <w:ind w:left="360"/>
      </w:pPr>
      <w:r>
        <w:rPr>
          <w:sz w:val="21"/>
        </w:rPr>
        <w:t>fill_rate_goal, service_level_objective</w:t>
      </w:r>
    </w:p>
    <w:p>
      <w:pPr>
        <w:pStyle w:val="ListBullet"/>
        <w:spacing w:after="40"/>
        <w:ind w:left="360"/>
      </w:pPr>
      <w:r>
        <w:rPr>
          <w:sz w:val="21"/>
        </w:rPr>
        <w:t>event_weeks (duration)</w:t>
      </w:r>
    </w:p>
    <w:p>
      <w:pPr>
        <w:pStyle w:val="ListBullet"/>
        <w:spacing w:after="40"/>
        <w:ind w:left="360"/>
      </w:pPr>
      <w:r>
        <w:rPr>
          <w:sz w:val="21"/>
        </w:rPr>
        <w:t>min_margin, max_margin (segment guardrails)</w:t>
      </w:r>
    </w:p>
    <w:p/>
    <w:p>
      <w:pPr>
        <w:spacing w:after="80"/>
      </w:pPr>
      <w:r>
        <w:rPr>
          <w:b/>
          <w:sz w:val="22"/>
        </w:rPr>
        <w:t xml:space="preserve">Consumed by Agent: </w:t>
      </w:r>
      <w:r>
        <w:rPr>
          <w:sz w:val="22"/>
        </w:rPr>
        <w:t>Financial Impact Agent</w:t>
      </w:r>
    </w:p>
    <w:p>
      <w:pPr>
        <w:spacing w:after="80"/>
      </w:pPr>
      <w:r>
        <w:rPr>
          <w:b/>
          <w:sz w:val="22"/>
        </w:rPr>
        <w:t xml:space="preserve">Decision Enabled: </w:t>
      </w:r>
      <w:r>
        <w:rPr>
          <w:sz w:val="22"/>
        </w:rPr>
        <w:t>Enables deterministic calculation of projected_revenue, carrying_cost, expected_stockout_cost, and net_financial_impact for each scenario. Margin guardrails let the agent flag a margin breach before the planner commits.</w:t>
      </w:r>
    </w:p>
    <w:p>
      <w:r>
        <w:br w:type="page"/>
      </w:r>
    </w:p>
    <w:p>
      <w:pPr>
        <w:pStyle w:val="Heading1"/>
        <w:jc w:val="left"/>
      </w:pPr>
      <w:r>
        <w:rPr>
          <w:color w:val="1F3864"/>
        </w:rPr>
        <w:t>Query 7 — Cannibalization Candidates</w:t>
      </w:r>
    </w:p>
    <w:p>
      <w:pPr>
        <w:spacing w:before="80" w:after="160"/>
        <w:ind w:left="288"/>
      </w:pPr>
      <w:r>
        <w:rPr>
          <w:b/>
          <w:color w:val="C00000"/>
          <w:sz w:val="22"/>
        </w:rPr>
        <w:t xml:space="preserve">Problem Statement:  </w:t>
      </w:r>
      <w:r>
        <w:rPr>
          <w:i/>
          <w:sz w:val="22"/>
        </w:rPr>
        <w:t>Which substitute SKUs in the same product class, at the same location, are likely to lose sales when this product is promoted — and by how much?</w:t>
      </w:r>
    </w:p>
    <w:p>
      <w:pPr>
        <w:pStyle w:val="Heading2"/>
        <w:jc w:val="left"/>
      </w:pPr>
      <w:r>
        <w:rPr>
          <w:color w:val="2E75B6"/>
        </w:rPr>
        <w:t>Why This Problem Matters</w:t>
      </w:r>
    </w:p>
    <w:p>
      <w:pPr>
        <w:spacing w:after="160"/>
      </w:pPr>
      <w:r>
        <w:rPr>
          <w:sz w:val="22"/>
        </w:rPr>
        <w:t>Promotional lift is often partially an illusion: some of the 'extra' demand is customers switching from a similar product they would have bought anyway, not genuinely incremental volume. If the agent ignores cannibalization, it overstates net incremental demand and the planner over-orders. This query identifies substitute SKUs by matching on product_class_id at the same location, then computes each substitute's pre-event 8-week baseline and their actual sales during the event window. The cannibalization_factor is expressed as (actual_during / pre_baseline) - 1.0 — a negative number. If no historical data exists for a substitute, a conservative default of -20% is applied. The Demand Decomposition Agent surfaces these factors; the Scenario Generator incorporates them into the net incremental demand calculation and the final narrative.</w:t>
      </w:r>
    </w:p>
    <w:p>
      <w:pPr>
        <w:spacing w:after="40"/>
      </w:pPr>
      <w:r>
        <w:rPr>
          <w:b/>
          <w:sz w:val="22"/>
        </w:rPr>
        <w:t>Source Tables:</w:t>
      </w:r>
    </w:p>
    <w:p>
      <w:pPr>
        <w:pStyle w:val="ListBullet"/>
        <w:spacing w:after="40"/>
        <w:ind w:left="360"/>
      </w:pPr>
      <w:r>
        <w:rPr>
          <w:sz w:val="21"/>
        </w:rPr>
        <w:t>event</w:t>
      </w:r>
    </w:p>
    <w:p>
      <w:pPr>
        <w:pStyle w:val="ListBullet"/>
        <w:spacing w:after="40"/>
        <w:ind w:left="360"/>
      </w:pPr>
      <w:r>
        <w:rPr>
          <w:sz w:val="21"/>
        </w:rPr>
        <w:t>event_prod_loc_cust_xref</w:t>
      </w:r>
    </w:p>
    <w:p>
      <w:pPr>
        <w:pStyle w:val="ListBullet"/>
        <w:spacing w:after="40"/>
        <w:ind w:left="360"/>
      </w:pPr>
      <w:r>
        <w:rPr>
          <w:sz w:val="21"/>
        </w:rPr>
        <w:t>product_location_customer_xref</w:t>
      </w:r>
    </w:p>
    <w:p>
      <w:pPr>
        <w:pStyle w:val="ListBullet"/>
        <w:spacing w:after="40"/>
        <w:ind w:left="360"/>
      </w:pPr>
      <w:r>
        <w:rPr>
          <w:sz w:val="21"/>
        </w:rPr>
        <w:t>product</w:t>
      </w:r>
    </w:p>
    <w:p>
      <w:pPr>
        <w:pStyle w:val="ListBullet"/>
        <w:spacing w:after="40"/>
        <w:ind w:left="360"/>
      </w:pPr>
      <w:r>
        <w:rPr>
          <w:sz w:val="21"/>
        </w:rPr>
        <w:t>product_class</w:t>
      </w:r>
    </w:p>
    <w:p>
      <w:pPr>
        <w:pStyle w:val="ListBullet"/>
        <w:spacing w:after="40"/>
        <w:ind w:left="360"/>
      </w:pPr>
      <w:r>
        <w:rPr>
          <w:sz w:val="21"/>
        </w:rPr>
        <w:t>demand_history</w:t>
      </w:r>
    </w:p>
    <w:p>
      <w:pPr>
        <w:pStyle w:val="ListBullet"/>
        <w:spacing w:after="40"/>
        <w:ind w:left="360"/>
      </w:pPr>
      <w:r>
        <w:rPr>
          <w:sz w:val="21"/>
        </w:rPr>
        <w:t>demand_signal</w:t>
      </w:r>
    </w:p>
    <w:p>
      <w:pPr>
        <w:pStyle w:val="ListBullet"/>
        <w:spacing w:after="40"/>
        <w:ind w:left="360"/>
      </w:pPr>
      <w:r>
        <w:rPr>
          <w:sz w:val="21"/>
        </w:rPr>
        <w:t>period</w:t>
      </w:r>
    </w:p>
    <w:p/>
    <w:p>
      <w:pPr>
        <w:spacing w:after="40"/>
      </w:pPr>
      <w:r>
        <w:rPr>
          <w:b/>
          <w:sz w:val="22"/>
        </w:rPr>
        <w:t>Key Output Columns:</w:t>
      </w:r>
    </w:p>
    <w:p>
      <w:pPr>
        <w:pStyle w:val="ListBullet"/>
        <w:spacing w:after="40"/>
        <w:ind w:left="360"/>
      </w:pPr>
      <w:r>
        <w:rPr>
          <w:sz w:val="21"/>
        </w:rPr>
        <w:t>sub_product_id, sub_product_code, sub_product_name</w:t>
      </w:r>
    </w:p>
    <w:p>
      <w:pPr>
        <w:pStyle w:val="ListBullet"/>
        <w:spacing w:after="40"/>
        <w:ind w:left="360"/>
      </w:pPr>
      <w:r>
        <w:rPr>
          <w:sz w:val="21"/>
        </w:rPr>
        <w:t>shared_product_class</w:t>
      </w:r>
    </w:p>
    <w:p>
      <w:pPr>
        <w:pStyle w:val="ListBullet"/>
        <w:spacing w:after="40"/>
        <w:ind w:left="360"/>
      </w:pPr>
      <w:r>
        <w:rPr>
          <w:sz w:val="21"/>
        </w:rPr>
        <w:t>sub_pre_event_baseline (8-week avg before event)</w:t>
      </w:r>
    </w:p>
    <w:p>
      <w:pPr>
        <w:pStyle w:val="ListBullet"/>
        <w:spacing w:after="40"/>
        <w:ind w:left="360"/>
      </w:pPr>
      <w:r>
        <w:rPr>
          <w:sz w:val="21"/>
        </w:rPr>
        <w:t>sub_actual_sales_during (sales during promotion window)</w:t>
      </w:r>
    </w:p>
    <w:p>
      <w:pPr>
        <w:pStyle w:val="ListBullet"/>
        <w:spacing w:after="40"/>
        <w:ind w:left="360"/>
      </w:pPr>
      <w:r>
        <w:rPr>
          <w:sz w:val="21"/>
        </w:rPr>
        <w:t>cannibalization_factor: (actual/baseline) - 1.0, default -0.20</w:t>
      </w:r>
    </w:p>
    <w:p/>
    <w:p>
      <w:pPr>
        <w:spacing w:after="80"/>
      </w:pPr>
      <w:r>
        <w:rPr>
          <w:b/>
          <w:sz w:val="22"/>
        </w:rPr>
        <w:t xml:space="preserve">Consumed by Agent: </w:t>
      </w:r>
      <w:r>
        <w:rPr>
          <w:sz w:val="22"/>
        </w:rPr>
        <w:t>Demand Decomposition Agent</w:t>
      </w:r>
    </w:p>
    <w:p>
      <w:pPr>
        <w:spacing w:after="80"/>
      </w:pPr>
      <w:r>
        <w:rPr>
          <w:b/>
          <w:sz w:val="22"/>
        </w:rPr>
        <w:t xml:space="preserve">Decision Enabled: </w:t>
      </w:r>
      <w:r>
        <w:rPr>
          <w:sz w:val="22"/>
        </w:rPr>
        <w:t>Adjusts net incremental demand downward to account for intra-category switching. Prevents over-ordering by ensuring the planner sees true incremental volume, not gross lift.</w:t>
      </w:r>
    </w:p>
    <w:p/>
    <w:p/>
    <w:p>
      <w:r>
        <w:rPr>
          <w:i/>
          <w:color w:val="595959"/>
          <w:sz w:val="20"/>
        </w:rPr>
        <w:t>All 7 queries are parameterised on event_id. The Baseline Events workbook contains versions filtered to event 41 for validation. In the CASCI pipeline, each query is wrapped as a Python tool function and called at runtime with the target event_id.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