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4"/>
        <w:tblW w:w="0" w:type="auto"/>
        <w:tblLook w:val="04A0"/>
      </w:tblPr>
      <w:tblGrid>
        <w:gridCol w:w="2739"/>
        <w:gridCol w:w="2818"/>
        <w:gridCol w:w="2979"/>
        <w:gridCol w:w="2819"/>
        <w:gridCol w:w="2819"/>
      </w:tblGrid>
      <w:tr w:rsidR="000843DC" w:rsidTr="00CD1BBD">
        <w:trPr>
          <w:cnfStyle w:val="100000000000"/>
        </w:trPr>
        <w:tc>
          <w:tcPr>
            <w:cnfStyle w:val="001000000000"/>
            <w:tcW w:w="2739" w:type="dxa"/>
          </w:tcPr>
          <w:p w:rsidR="000843DC" w:rsidRDefault="000843DC" w:rsidP="00CD1BBD">
            <w:pPr>
              <w:rPr>
                <w:lang w:val="en-US" w:bidi="en-US"/>
              </w:rPr>
            </w:pPr>
          </w:p>
        </w:tc>
        <w:tc>
          <w:tcPr>
            <w:tcW w:w="2818" w:type="dxa"/>
          </w:tcPr>
          <w:p w:rsidR="000843DC" w:rsidRDefault="00D45256" w:rsidP="00D45256">
            <w:pPr>
              <w:cnfStyle w:val="100000000000"/>
              <w:rPr>
                <w:lang w:val="en-US" w:bidi="en-US"/>
              </w:rPr>
            </w:pPr>
            <w:r>
              <w:rPr>
                <w:lang w:val="en-US" w:bidi="en-US"/>
              </w:rPr>
              <w:t>Tuesday</w:t>
            </w:r>
          </w:p>
        </w:tc>
        <w:tc>
          <w:tcPr>
            <w:tcW w:w="2979" w:type="dxa"/>
          </w:tcPr>
          <w:p w:rsidR="000843DC" w:rsidRDefault="00D45256" w:rsidP="00CD1BBD">
            <w:pPr>
              <w:cnfStyle w:val="100000000000"/>
              <w:rPr>
                <w:lang w:val="en-US" w:bidi="en-US"/>
              </w:rPr>
            </w:pPr>
            <w:r>
              <w:rPr>
                <w:lang w:val="en-US" w:bidi="en-US"/>
              </w:rPr>
              <w:t>Wednesday</w:t>
            </w:r>
          </w:p>
        </w:tc>
        <w:tc>
          <w:tcPr>
            <w:tcW w:w="2819" w:type="dxa"/>
          </w:tcPr>
          <w:p w:rsidR="000843DC" w:rsidRDefault="00D45256" w:rsidP="00CD1BBD">
            <w:pPr>
              <w:cnfStyle w:val="100000000000"/>
              <w:rPr>
                <w:lang w:val="en-US" w:bidi="en-US"/>
              </w:rPr>
            </w:pPr>
            <w:r>
              <w:rPr>
                <w:lang w:val="en-US" w:bidi="en-US"/>
              </w:rPr>
              <w:t>Thursday</w:t>
            </w:r>
          </w:p>
        </w:tc>
        <w:tc>
          <w:tcPr>
            <w:tcW w:w="2819" w:type="dxa"/>
          </w:tcPr>
          <w:p w:rsidR="000843DC" w:rsidRDefault="00D45256" w:rsidP="00CD1BBD">
            <w:pPr>
              <w:cnfStyle w:val="100000000000"/>
              <w:rPr>
                <w:lang w:val="en-US" w:bidi="en-US"/>
              </w:rPr>
            </w:pPr>
            <w:r>
              <w:rPr>
                <w:lang w:val="en-US" w:bidi="en-US"/>
              </w:rPr>
              <w:t>Friday</w:t>
            </w:r>
          </w:p>
        </w:tc>
      </w:tr>
      <w:tr w:rsidR="000843DC" w:rsidTr="00CD1BBD">
        <w:trPr>
          <w:cnfStyle w:val="000000100000"/>
        </w:trPr>
        <w:tc>
          <w:tcPr>
            <w:cnfStyle w:val="001000000000"/>
            <w:tcW w:w="2739" w:type="dxa"/>
          </w:tcPr>
          <w:p w:rsidR="000843DC" w:rsidRDefault="000843DC" w:rsidP="00A91AEA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9:00-10:</w:t>
            </w:r>
            <w:r w:rsidR="00A91AEA">
              <w:rPr>
                <w:lang w:val="en-US" w:bidi="en-US"/>
              </w:rPr>
              <w:t>3</w:t>
            </w:r>
            <w:r>
              <w:rPr>
                <w:lang w:val="en-US" w:bidi="en-US"/>
              </w:rPr>
              <w:t>0</w:t>
            </w:r>
          </w:p>
        </w:tc>
        <w:tc>
          <w:tcPr>
            <w:tcW w:w="2818" w:type="dxa"/>
          </w:tcPr>
          <w:p w:rsidR="000843DC" w:rsidRDefault="000843DC" w:rsidP="00CD1BBD">
            <w:pPr>
              <w:cnfStyle w:val="000000100000"/>
              <w:rPr>
                <w:lang w:val="en-US" w:bidi="en-US"/>
              </w:rPr>
            </w:pPr>
            <w:r>
              <w:rPr>
                <w:lang w:val="en-US" w:bidi="en-US"/>
              </w:rPr>
              <w:t>Introduction to surveillance: historical to current (MK)</w:t>
            </w:r>
          </w:p>
          <w:p w:rsidR="00A91AEA" w:rsidRDefault="00A91AEA" w:rsidP="00CD1BBD">
            <w:pPr>
              <w:cnfStyle w:val="000000100000"/>
              <w:rPr>
                <w:lang w:val="en-US" w:bidi="en-US"/>
              </w:rPr>
            </w:pPr>
          </w:p>
        </w:tc>
        <w:tc>
          <w:tcPr>
            <w:tcW w:w="2979" w:type="dxa"/>
          </w:tcPr>
          <w:p w:rsidR="000843DC" w:rsidRDefault="00A91AEA" w:rsidP="000C79B1">
            <w:pPr>
              <w:cnfStyle w:val="000000100000"/>
              <w:rPr>
                <w:lang w:val="en-US" w:bidi="en-US"/>
              </w:rPr>
            </w:pPr>
            <w:r>
              <w:rPr>
                <w:lang w:val="en-US" w:bidi="en-US"/>
              </w:rPr>
              <w:t>Analysis of surveillance Data</w:t>
            </w:r>
            <w:r w:rsidR="000843DC">
              <w:rPr>
                <w:lang w:val="en-US" w:bidi="en-US"/>
              </w:rPr>
              <w:t xml:space="preserve"> (MK)</w:t>
            </w:r>
          </w:p>
        </w:tc>
        <w:tc>
          <w:tcPr>
            <w:tcW w:w="2819" w:type="dxa"/>
          </w:tcPr>
          <w:p w:rsidR="000843DC" w:rsidRDefault="000843DC" w:rsidP="001968A2">
            <w:pPr>
              <w:cnfStyle w:val="000000100000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Case study: </w:t>
            </w:r>
            <w:r w:rsidR="00A91AEA" w:rsidRPr="00A91AEA">
              <w:rPr>
                <w:lang w:val="en-US" w:bidi="en-US"/>
              </w:rPr>
              <w:t xml:space="preserve">Solving clusters of </w:t>
            </w:r>
            <w:proofErr w:type="spellStart"/>
            <w:r w:rsidR="00A91AEA" w:rsidRPr="00A91AEA">
              <w:rPr>
                <w:lang w:val="en-US" w:bidi="en-US"/>
              </w:rPr>
              <w:t>listeriosis</w:t>
            </w:r>
            <w:proofErr w:type="spellEnd"/>
            <w:r w:rsidR="00A91AEA" w:rsidRPr="00A91AEA">
              <w:rPr>
                <w:lang w:val="en-US" w:bidi="en-US"/>
              </w:rPr>
              <w:t xml:space="preserve"> using enhanced surveillance—Interpreting surveillance data</w:t>
            </w:r>
            <w:r w:rsidR="001968A2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(MK</w:t>
            </w:r>
            <w:r w:rsidR="004A3A6B">
              <w:rPr>
                <w:lang w:val="en-US" w:bidi="en-US"/>
              </w:rPr>
              <w:t xml:space="preserve"> &amp; </w:t>
            </w:r>
            <w:r w:rsidR="001968A2">
              <w:rPr>
                <w:lang w:val="en-US" w:bidi="en-US"/>
              </w:rPr>
              <w:t>KA</w:t>
            </w:r>
            <w:r>
              <w:rPr>
                <w:lang w:val="en-US" w:bidi="en-US"/>
              </w:rPr>
              <w:t>)</w:t>
            </w:r>
          </w:p>
        </w:tc>
        <w:tc>
          <w:tcPr>
            <w:tcW w:w="2819" w:type="dxa"/>
          </w:tcPr>
          <w:p w:rsidR="000843DC" w:rsidRDefault="000843DC" w:rsidP="009D7ACA">
            <w:pPr>
              <w:cnfStyle w:val="000000100000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Surveillance in humanitarian crises &amp; </w:t>
            </w:r>
            <w:r w:rsidR="009D7ACA">
              <w:rPr>
                <w:lang w:val="en-US" w:bidi="en-US"/>
              </w:rPr>
              <w:t>mass gatherings</w:t>
            </w:r>
            <w:r>
              <w:rPr>
                <w:lang w:val="en-US" w:bidi="en-US"/>
              </w:rPr>
              <w:t xml:space="preserve"> (SD)</w:t>
            </w:r>
          </w:p>
        </w:tc>
      </w:tr>
      <w:tr w:rsidR="000843DC" w:rsidTr="00CD1BBD">
        <w:tc>
          <w:tcPr>
            <w:cnfStyle w:val="001000000000"/>
            <w:tcW w:w="2739" w:type="dxa"/>
          </w:tcPr>
          <w:p w:rsidR="000843DC" w:rsidRDefault="000843DC" w:rsidP="00A91AEA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10:</w:t>
            </w:r>
            <w:r w:rsidR="00A91AEA">
              <w:rPr>
                <w:lang w:val="en-US" w:bidi="en-US"/>
              </w:rPr>
              <w:t>3</w:t>
            </w:r>
            <w:r>
              <w:rPr>
                <w:lang w:val="en-US" w:bidi="en-US"/>
              </w:rPr>
              <w:t>0-1</w:t>
            </w:r>
            <w:r w:rsidR="00A91AEA">
              <w:rPr>
                <w:lang w:val="en-US" w:bidi="en-US"/>
              </w:rPr>
              <w:t>1</w:t>
            </w:r>
            <w:r>
              <w:rPr>
                <w:lang w:val="en-US" w:bidi="en-US"/>
              </w:rPr>
              <w:t>:</w:t>
            </w:r>
            <w:r w:rsidR="00A91AEA">
              <w:rPr>
                <w:lang w:val="en-US" w:bidi="en-US"/>
              </w:rPr>
              <w:t>0</w:t>
            </w:r>
            <w:r>
              <w:rPr>
                <w:lang w:val="en-US" w:bidi="en-US"/>
              </w:rPr>
              <w:t>0</w:t>
            </w:r>
          </w:p>
        </w:tc>
        <w:tc>
          <w:tcPr>
            <w:tcW w:w="2818" w:type="dxa"/>
          </w:tcPr>
          <w:p w:rsidR="000843DC" w:rsidRDefault="000843DC" w:rsidP="00CD1BBD">
            <w:pPr>
              <w:cnfStyle w:val="000000000000"/>
              <w:rPr>
                <w:lang w:val="en-US" w:bidi="en-US"/>
              </w:rPr>
            </w:pPr>
          </w:p>
        </w:tc>
        <w:tc>
          <w:tcPr>
            <w:tcW w:w="2979" w:type="dxa"/>
          </w:tcPr>
          <w:p w:rsidR="000843DC" w:rsidRDefault="000843DC" w:rsidP="00CD1BBD">
            <w:pPr>
              <w:cnfStyle w:val="000000000000"/>
              <w:rPr>
                <w:lang w:val="en-US" w:bidi="en-US"/>
              </w:rPr>
            </w:pPr>
          </w:p>
        </w:tc>
        <w:tc>
          <w:tcPr>
            <w:tcW w:w="2819" w:type="dxa"/>
          </w:tcPr>
          <w:p w:rsidR="000843DC" w:rsidRDefault="000843DC" w:rsidP="00CD1BBD">
            <w:pPr>
              <w:cnfStyle w:val="000000000000"/>
              <w:rPr>
                <w:lang w:val="en-US" w:bidi="en-US"/>
              </w:rPr>
            </w:pPr>
          </w:p>
        </w:tc>
        <w:tc>
          <w:tcPr>
            <w:tcW w:w="2819" w:type="dxa"/>
          </w:tcPr>
          <w:p w:rsidR="000843DC" w:rsidRDefault="000843DC" w:rsidP="00CD1BBD">
            <w:pPr>
              <w:cnfStyle w:val="000000000000"/>
              <w:rPr>
                <w:lang w:val="en-US" w:bidi="en-US"/>
              </w:rPr>
            </w:pPr>
          </w:p>
        </w:tc>
      </w:tr>
      <w:tr w:rsidR="000843DC" w:rsidTr="00CD1BBD">
        <w:trPr>
          <w:cnfStyle w:val="000000100000"/>
        </w:trPr>
        <w:tc>
          <w:tcPr>
            <w:cnfStyle w:val="001000000000"/>
            <w:tcW w:w="2739" w:type="dxa"/>
          </w:tcPr>
          <w:p w:rsidR="000843DC" w:rsidRDefault="000843DC" w:rsidP="00A91AEA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1</w:t>
            </w:r>
            <w:r w:rsidR="00A91AEA">
              <w:rPr>
                <w:lang w:val="en-US" w:bidi="en-US"/>
              </w:rPr>
              <w:t>1</w:t>
            </w:r>
            <w:r>
              <w:rPr>
                <w:lang w:val="en-US" w:bidi="en-US"/>
              </w:rPr>
              <w:t>:</w:t>
            </w:r>
            <w:r w:rsidR="00A91AEA">
              <w:rPr>
                <w:lang w:val="en-US" w:bidi="en-US"/>
              </w:rPr>
              <w:t>0</w:t>
            </w:r>
            <w:r>
              <w:rPr>
                <w:lang w:val="en-US" w:bidi="en-US"/>
              </w:rPr>
              <w:t>0-12:</w:t>
            </w:r>
            <w:r w:rsidR="00A91AEA">
              <w:rPr>
                <w:lang w:val="en-US" w:bidi="en-US"/>
              </w:rPr>
              <w:t>3</w:t>
            </w:r>
            <w:r>
              <w:rPr>
                <w:lang w:val="en-US" w:bidi="en-US"/>
              </w:rPr>
              <w:t>0</w:t>
            </w:r>
          </w:p>
        </w:tc>
        <w:tc>
          <w:tcPr>
            <w:tcW w:w="2818" w:type="dxa"/>
          </w:tcPr>
          <w:p w:rsidR="000843DC" w:rsidRDefault="000843DC" w:rsidP="00A91AEA">
            <w:pPr>
              <w:cnfStyle w:val="000000100000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Why </w:t>
            </w:r>
            <w:r w:rsidR="00A91AEA">
              <w:rPr>
                <w:lang w:val="en-US" w:bidi="en-US"/>
              </w:rPr>
              <w:t>and how we do surveillance in Australia</w:t>
            </w:r>
            <w:r>
              <w:rPr>
                <w:lang w:val="en-US" w:bidi="en-US"/>
              </w:rPr>
              <w:t xml:space="preserve"> (</w:t>
            </w:r>
            <w:r w:rsidR="004A3A6B">
              <w:rPr>
                <w:lang w:val="en-US" w:bidi="en-US"/>
              </w:rPr>
              <w:t>SD</w:t>
            </w:r>
            <w:r>
              <w:rPr>
                <w:lang w:val="en-US" w:bidi="en-US"/>
              </w:rPr>
              <w:t>)</w:t>
            </w:r>
          </w:p>
        </w:tc>
        <w:tc>
          <w:tcPr>
            <w:tcW w:w="2979" w:type="dxa"/>
          </w:tcPr>
          <w:p w:rsidR="00A91AEA" w:rsidRDefault="00A91AEA" w:rsidP="00CD1BBD">
            <w:pPr>
              <w:cnfStyle w:val="000000100000"/>
              <w:rPr>
                <w:lang w:val="en-US" w:bidi="en-US"/>
              </w:rPr>
            </w:pPr>
            <w:r>
              <w:rPr>
                <w:lang w:val="en-US" w:bidi="en-US"/>
              </w:rPr>
              <w:t>GIS for surveillance (IH)</w:t>
            </w:r>
          </w:p>
          <w:p w:rsidR="000843DC" w:rsidRDefault="000843DC" w:rsidP="00CD1BBD">
            <w:pPr>
              <w:cnfStyle w:val="000000100000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Evaluation of surveillance </w:t>
            </w:r>
            <w:r w:rsidR="001968A2">
              <w:rPr>
                <w:lang w:val="en-US" w:bidi="en-US"/>
              </w:rPr>
              <w:t xml:space="preserve">systems </w:t>
            </w:r>
            <w:r>
              <w:rPr>
                <w:lang w:val="en-US" w:bidi="en-US"/>
              </w:rPr>
              <w:t>(MK)</w:t>
            </w:r>
          </w:p>
        </w:tc>
        <w:tc>
          <w:tcPr>
            <w:tcW w:w="2819" w:type="dxa"/>
          </w:tcPr>
          <w:p w:rsidR="000843DC" w:rsidRDefault="000843DC" w:rsidP="009D7ACA">
            <w:pPr>
              <w:cnfStyle w:val="000000100000"/>
              <w:rPr>
                <w:lang w:val="en-US" w:bidi="en-US"/>
              </w:rPr>
            </w:pPr>
            <w:r>
              <w:rPr>
                <w:lang w:val="en-US" w:bidi="en-US"/>
              </w:rPr>
              <w:t>Outbreak detection &amp; clustering (</w:t>
            </w:r>
            <w:r w:rsidR="009D7ACA">
              <w:rPr>
                <w:lang w:val="en-US" w:bidi="en-US"/>
              </w:rPr>
              <w:t>RH</w:t>
            </w:r>
            <w:r>
              <w:rPr>
                <w:lang w:val="en-US" w:bidi="en-US"/>
              </w:rPr>
              <w:t>)</w:t>
            </w:r>
          </w:p>
        </w:tc>
        <w:tc>
          <w:tcPr>
            <w:tcW w:w="2819" w:type="dxa"/>
          </w:tcPr>
          <w:p w:rsidR="000843DC" w:rsidRDefault="000843DC" w:rsidP="009D7ACA">
            <w:pPr>
              <w:cnfStyle w:val="000000100000"/>
              <w:rPr>
                <w:lang w:val="en-US" w:bidi="en-US"/>
              </w:rPr>
            </w:pPr>
            <w:r>
              <w:rPr>
                <w:lang w:val="en-US" w:bidi="en-US"/>
              </w:rPr>
              <w:t>Event-based surveillance (</w:t>
            </w:r>
            <w:r w:rsidR="009D7ACA">
              <w:rPr>
                <w:lang w:val="en-US" w:bidi="en-US"/>
              </w:rPr>
              <w:t>SW</w:t>
            </w:r>
            <w:r>
              <w:rPr>
                <w:lang w:val="en-US" w:bidi="en-US"/>
              </w:rPr>
              <w:t>)</w:t>
            </w:r>
          </w:p>
        </w:tc>
      </w:tr>
      <w:tr w:rsidR="000843DC" w:rsidTr="00CD1BBD">
        <w:tc>
          <w:tcPr>
            <w:cnfStyle w:val="001000000000"/>
            <w:tcW w:w="2739" w:type="dxa"/>
          </w:tcPr>
          <w:p w:rsidR="000843DC" w:rsidRDefault="00A91AEA" w:rsidP="00CD1BBD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12:3</w:t>
            </w:r>
            <w:r w:rsidR="000843DC">
              <w:rPr>
                <w:lang w:val="en-US" w:bidi="en-US"/>
              </w:rPr>
              <w:t>0-1:30</w:t>
            </w:r>
          </w:p>
        </w:tc>
        <w:tc>
          <w:tcPr>
            <w:tcW w:w="2818" w:type="dxa"/>
          </w:tcPr>
          <w:p w:rsidR="000843DC" w:rsidRDefault="000843DC" w:rsidP="00CD1BBD">
            <w:pPr>
              <w:cnfStyle w:val="000000000000"/>
              <w:rPr>
                <w:lang w:val="en-US" w:bidi="en-US"/>
              </w:rPr>
            </w:pPr>
          </w:p>
        </w:tc>
        <w:tc>
          <w:tcPr>
            <w:tcW w:w="2979" w:type="dxa"/>
          </w:tcPr>
          <w:p w:rsidR="000843DC" w:rsidRDefault="000843DC" w:rsidP="00CD1BBD">
            <w:pPr>
              <w:cnfStyle w:val="000000000000"/>
              <w:rPr>
                <w:lang w:val="en-US" w:bidi="en-US"/>
              </w:rPr>
            </w:pPr>
          </w:p>
        </w:tc>
        <w:tc>
          <w:tcPr>
            <w:tcW w:w="2819" w:type="dxa"/>
          </w:tcPr>
          <w:p w:rsidR="000843DC" w:rsidRDefault="000843DC" w:rsidP="00CD1BBD">
            <w:pPr>
              <w:cnfStyle w:val="000000000000"/>
              <w:rPr>
                <w:lang w:val="en-US" w:bidi="en-US"/>
              </w:rPr>
            </w:pPr>
          </w:p>
        </w:tc>
        <w:tc>
          <w:tcPr>
            <w:tcW w:w="2819" w:type="dxa"/>
          </w:tcPr>
          <w:p w:rsidR="000843DC" w:rsidRDefault="000843DC" w:rsidP="00CD1BBD">
            <w:pPr>
              <w:cnfStyle w:val="000000000000"/>
              <w:rPr>
                <w:lang w:val="en-US" w:bidi="en-US"/>
              </w:rPr>
            </w:pPr>
          </w:p>
        </w:tc>
      </w:tr>
      <w:tr w:rsidR="000843DC" w:rsidTr="00CD1BBD">
        <w:trPr>
          <w:cnfStyle w:val="000000100000"/>
        </w:trPr>
        <w:tc>
          <w:tcPr>
            <w:cnfStyle w:val="001000000000"/>
            <w:tcW w:w="2739" w:type="dxa"/>
          </w:tcPr>
          <w:p w:rsidR="000843DC" w:rsidRDefault="000843DC" w:rsidP="00CD1BBD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1:30-3:00</w:t>
            </w:r>
          </w:p>
        </w:tc>
        <w:tc>
          <w:tcPr>
            <w:tcW w:w="2818" w:type="dxa"/>
          </w:tcPr>
          <w:p w:rsidR="00A91AEA" w:rsidRDefault="00A91AEA" w:rsidP="00A91AEA">
            <w:pPr>
              <w:cnfStyle w:val="000000100000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Case study: STEC </w:t>
            </w:r>
            <w:r w:rsidRPr="00A91AEA">
              <w:rPr>
                <w:lang w:val="en-US" w:bidi="en-US"/>
              </w:rPr>
              <w:t>infections in South Australia—Information for Action</w:t>
            </w:r>
            <w:r>
              <w:rPr>
                <w:lang w:val="en-US" w:bidi="en-US"/>
              </w:rPr>
              <w:br/>
            </w:r>
            <w:r w:rsidR="000843DC">
              <w:rPr>
                <w:lang w:val="en-US" w:bidi="en-US"/>
              </w:rPr>
              <w:t>(M</w:t>
            </w:r>
            <w:r w:rsidR="009D7ACA">
              <w:rPr>
                <w:lang w:val="en-US" w:bidi="en-US"/>
              </w:rPr>
              <w:t>K</w:t>
            </w:r>
            <w:r>
              <w:rPr>
                <w:lang w:val="en-US" w:bidi="en-US"/>
              </w:rPr>
              <w:t xml:space="preserve"> &amp; SC</w:t>
            </w:r>
            <w:r w:rsidR="000843DC">
              <w:rPr>
                <w:lang w:val="en-US" w:bidi="en-US"/>
              </w:rPr>
              <w:t>)</w:t>
            </w:r>
          </w:p>
        </w:tc>
        <w:tc>
          <w:tcPr>
            <w:tcW w:w="2979" w:type="dxa"/>
          </w:tcPr>
          <w:p w:rsidR="000843DC" w:rsidRDefault="000843DC" w:rsidP="00CD1BBD">
            <w:pPr>
              <w:cnfStyle w:val="000000100000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Case study: </w:t>
            </w:r>
            <w:r w:rsidR="00A91AEA" w:rsidRPr="00A91AEA">
              <w:rPr>
                <w:lang w:val="en-US" w:bidi="en-US"/>
              </w:rPr>
              <w:t xml:space="preserve">Solving clusters of </w:t>
            </w:r>
            <w:proofErr w:type="spellStart"/>
            <w:r w:rsidR="00A91AEA" w:rsidRPr="00A91AEA">
              <w:rPr>
                <w:lang w:val="en-US" w:bidi="en-US"/>
              </w:rPr>
              <w:t>listeriosis</w:t>
            </w:r>
            <w:proofErr w:type="spellEnd"/>
            <w:r w:rsidR="00A91AEA" w:rsidRPr="00A91AEA">
              <w:rPr>
                <w:lang w:val="en-US" w:bidi="en-US"/>
              </w:rPr>
              <w:t xml:space="preserve"> using enhanced surveillance—Interpreting surveillance data </w:t>
            </w:r>
            <w:r>
              <w:rPr>
                <w:lang w:val="en-US" w:bidi="en-US"/>
              </w:rPr>
              <w:t>(MK</w:t>
            </w:r>
            <w:r w:rsidR="009D7ACA">
              <w:rPr>
                <w:lang w:val="en-US" w:bidi="en-US"/>
              </w:rPr>
              <w:t xml:space="preserve"> &amp;</w:t>
            </w:r>
            <w:r w:rsidR="001968A2">
              <w:rPr>
                <w:lang w:val="en-US" w:bidi="en-US"/>
              </w:rPr>
              <w:t xml:space="preserve"> </w:t>
            </w:r>
            <w:r w:rsidR="009D7ACA">
              <w:rPr>
                <w:lang w:val="en-US" w:bidi="en-US"/>
              </w:rPr>
              <w:t>KA</w:t>
            </w:r>
            <w:r>
              <w:rPr>
                <w:lang w:val="en-US" w:bidi="en-US"/>
              </w:rPr>
              <w:t>)</w:t>
            </w:r>
          </w:p>
        </w:tc>
        <w:tc>
          <w:tcPr>
            <w:tcW w:w="2819" w:type="dxa"/>
          </w:tcPr>
          <w:p w:rsidR="000843DC" w:rsidRDefault="000843DC" w:rsidP="009D7ACA">
            <w:pPr>
              <w:cnfStyle w:val="000000100000"/>
              <w:rPr>
                <w:lang w:val="en-US" w:bidi="en-US"/>
              </w:rPr>
            </w:pPr>
            <w:r>
              <w:rPr>
                <w:lang w:val="en-US" w:bidi="en-US"/>
              </w:rPr>
              <w:t>Influenza surveillance in Australia (RO</w:t>
            </w:r>
            <w:r w:rsidR="009D7ACA">
              <w:rPr>
                <w:lang w:val="en-US" w:bidi="en-US"/>
              </w:rPr>
              <w:t>)</w:t>
            </w:r>
          </w:p>
        </w:tc>
        <w:tc>
          <w:tcPr>
            <w:tcW w:w="2819" w:type="dxa"/>
          </w:tcPr>
          <w:p w:rsidR="000843DC" w:rsidRDefault="00F614B3" w:rsidP="00F95B6D">
            <w:pPr>
              <w:cnfStyle w:val="000000100000"/>
              <w:rPr>
                <w:lang w:val="en-US" w:bidi="en-US"/>
              </w:rPr>
            </w:pPr>
            <w:r>
              <w:rPr>
                <w:lang w:val="en-US" w:bidi="en-US"/>
              </w:rPr>
              <w:t>Concepts in surveillance</w:t>
            </w:r>
            <w:r w:rsidR="000843DC">
              <w:rPr>
                <w:lang w:val="en-US" w:bidi="en-US"/>
              </w:rPr>
              <w:t xml:space="preserve"> (</w:t>
            </w:r>
            <w:r w:rsidR="00F95B6D">
              <w:rPr>
                <w:lang w:val="en-US" w:bidi="en-US"/>
              </w:rPr>
              <w:t>RH</w:t>
            </w:r>
            <w:r w:rsidR="000843DC">
              <w:rPr>
                <w:lang w:val="en-US" w:bidi="en-US"/>
              </w:rPr>
              <w:t>)</w:t>
            </w:r>
          </w:p>
        </w:tc>
      </w:tr>
      <w:tr w:rsidR="000843DC" w:rsidTr="00CD1BBD">
        <w:tc>
          <w:tcPr>
            <w:cnfStyle w:val="001000000000"/>
            <w:tcW w:w="2739" w:type="dxa"/>
          </w:tcPr>
          <w:p w:rsidR="000843DC" w:rsidRDefault="000843DC" w:rsidP="00CD1BBD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3:00-3:30</w:t>
            </w:r>
          </w:p>
        </w:tc>
        <w:tc>
          <w:tcPr>
            <w:tcW w:w="2818" w:type="dxa"/>
          </w:tcPr>
          <w:p w:rsidR="000843DC" w:rsidRDefault="000843DC" w:rsidP="00CD1BBD">
            <w:pPr>
              <w:cnfStyle w:val="000000000000"/>
              <w:rPr>
                <w:lang w:val="en-US" w:bidi="en-US"/>
              </w:rPr>
            </w:pPr>
          </w:p>
        </w:tc>
        <w:tc>
          <w:tcPr>
            <w:tcW w:w="2979" w:type="dxa"/>
          </w:tcPr>
          <w:p w:rsidR="000843DC" w:rsidRDefault="000843DC" w:rsidP="00CD1BBD">
            <w:pPr>
              <w:cnfStyle w:val="000000000000"/>
              <w:rPr>
                <w:lang w:val="en-US" w:bidi="en-US"/>
              </w:rPr>
            </w:pPr>
          </w:p>
        </w:tc>
        <w:tc>
          <w:tcPr>
            <w:tcW w:w="2819" w:type="dxa"/>
          </w:tcPr>
          <w:p w:rsidR="000843DC" w:rsidRDefault="000843DC" w:rsidP="00CD1BBD">
            <w:pPr>
              <w:cnfStyle w:val="000000000000"/>
              <w:rPr>
                <w:lang w:val="en-US" w:bidi="en-US"/>
              </w:rPr>
            </w:pPr>
          </w:p>
        </w:tc>
        <w:tc>
          <w:tcPr>
            <w:tcW w:w="2819" w:type="dxa"/>
          </w:tcPr>
          <w:p w:rsidR="000843DC" w:rsidRDefault="000843DC" w:rsidP="00CD1BBD">
            <w:pPr>
              <w:cnfStyle w:val="000000000000"/>
              <w:rPr>
                <w:lang w:val="en-US" w:bidi="en-US"/>
              </w:rPr>
            </w:pPr>
          </w:p>
        </w:tc>
      </w:tr>
      <w:tr w:rsidR="000843DC" w:rsidTr="00CD1BBD">
        <w:trPr>
          <w:cnfStyle w:val="000000100000"/>
        </w:trPr>
        <w:tc>
          <w:tcPr>
            <w:cnfStyle w:val="001000000000"/>
            <w:tcW w:w="2739" w:type="dxa"/>
          </w:tcPr>
          <w:p w:rsidR="000843DC" w:rsidRDefault="000843DC" w:rsidP="00CD1BBD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3:30-5:00</w:t>
            </w:r>
          </w:p>
        </w:tc>
        <w:tc>
          <w:tcPr>
            <w:tcW w:w="2818" w:type="dxa"/>
          </w:tcPr>
          <w:p w:rsidR="00A91AEA" w:rsidRDefault="00A91AEA" w:rsidP="00A91AEA">
            <w:pPr>
              <w:cnfStyle w:val="000000100000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Case study: STEC </w:t>
            </w:r>
            <w:r w:rsidRPr="00A91AEA">
              <w:rPr>
                <w:lang w:val="en-US" w:bidi="en-US"/>
              </w:rPr>
              <w:t>infections in South Australia—Information for Action</w:t>
            </w:r>
            <w:r>
              <w:rPr>
                <w:lang w:val="en-US" w:bidi="en-US"/>
              </w:rPr>
              <w:br/>
              <w:t>(MK &amp; SC)</w:t>
            </w:r>
          </w:p>
        </w:tc>
        <w:tc>
          <w:tcPr>
            <w:tcW w:w="2979" w:type="dxa"/>
          </w:tcPr>
          <w:p w:rsidR="000843DC" w:rsidRDefault="000843DC" w:rsidP="009D7ACA">
            <w:pPr>
              <w:cnfStyle w:val="000000100000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Case study: </w:t>
            </w:r>
            <w:r w:rsidR="00A91AEA" w:rsidRPr="00A91AEA">
              <w:rPr>
                <w:lang w:val="en-US" w:bidi="en-US"/>
              </w:rPr>
              <w:t xml:space="preserve">Solving clusters of </w:t>
            </w:r>
            <w:proofErr w:type="spellStart"/>
            <w:r w:rsidR="00A91AEA" w:rsidRPr="00A91AEA">
              <w:rPr>
                <w:lang w:val="en-US" w:bidi="en-US"/>
              </w:rPr>
              <w:t>listeriosis</w:t>
            </w:r>
            <w:proofErr w:type="spellEnd"/>
            <w:r w:rsidR="00A91AEA" w:rsidRPr="00A91AEA">
              <w:rPr>
                <w:lang w:val="en-US" w:bidi="en-US"/>
              </w:rPr>
              <w:t xml:space="preserve"> using enhanced surveillance—Interpreting surveillance data</w:t>
            </w:r>
            <w:r>
              <w:rPr>
                <w:lang w:val="en-US" w:bidi="en-US"/>
              </w:rPr>
              <w:t xml:space="preserve"> (MK</w:t>
            </w:r>
            <w:r w:rsidR="009D7ACA">
              <w:rPr>
                <w:lang w:val="en-US" w:bidi="en-US"/>
              </w:rPr>
              <w:t xml:space="preserve"> &amp;</w:t>
            </w:r>
            <w:r w:rsidR="001968A2">
              <w:rPr>
                <w:lang w:val="en-US" w:bidi="en-US"/>
              </w:rPr>
              <w:t xml:space="preserve"> </w:t>
            </w:r>
            <w:r w:rsidR="009D7ACA">
              <w:rPr>
                <w:lang w:val="en-US" w:bidi="en-US"/>
              </w:rPr>
              <w:t>KA</w:t>
            </w:r>
            <w:r>
              <w:rPr>
                <w:lang w:val="en-US" w:bidi="en-US"/>
              </w:rPr>
              <w:t>)</w:t>
            </w:r>
          </w:p>
        </w:tc>
        <w:tc>
          <w:tcPr>
            <w:tcW w:w="2819" w:type="dxa"/>
          </w:tcPr>
          <w:p w:rsidR="000843DC" w:rsidRPr="00E818A2" w:rsidRDefault="000843DC" w:rsidP="00184E24">
            <w:pPr>
              <w:cnfStyle w:val="000000100000"/>
            </w:pPr>
            <w:r>
              <w:rPr>
                <w:lang w:val="en-US" w:bidi="en-US"/>
              </w:rPr>
              <w:t>Chronic disease surveillance in Australia (</w:t>
            </w:r>
            <w:r w:rsidR="00184E24">
              <w:rPr>
                <w:lang w:val="en-US" w:bidi="en-US"/>
              </w:rPr>
              <w:t>MCS</w:t>
            </w:r>
            <w:r>
              <w:t>)</w:t>
            </w:r>
          </w:p>
        </w:tc>
        <w:tc>
          <w:tcPr>
            <w:tcW w:w="2819" w:type="dxa"/>
          </w:tcPr>
          <w:p w:rsidR="000843DC" w:rsidRDefault="000843DC" w:rsidP="00F95B6D">
            <w:pPr>
              <w:cnfStyle w:val="000000100000"/>
              <w:rPr>
                <w:lang w:val="en-US" w:bidi="en-US"/>
              </w:rPr>
            </w:pPr>
            <w:r>
              <w:rPr>
                <w:lang w:val="en-US" w:bidi="en-US"/>
              </w:rPr>
              <w:t>Assessment – in class assignment</w:t>
            </w:r>
            <w:r w:rsidR="00F95B6D">
              <w:rPr>
                <w:lang w:val="en-US" w:bidi="en-US"/>
              </w:rPr>
              <w:t xml:space="preserve"> (ANU students only)</w:t>
            </w:r>
          </w:p>
        </w:tc>
      </w:tr>
    </w:tbl>
    <w:p w:rsidR="009D7ACA" w:rsidRDefault="009D7ACA" w:rsidP="00804AC0">
      <w:pPr>
        <w:rPr>
          <w:lang w:val="en-US" w:bidi="en-US"/>
        </w:rPr>
      </w:pPr>
      <w:r w:rsidRPr="009D7ACA">
        <w:rPr>
          <w:b/>
          <w:lang w:val="en-US" w:bidi="en-US"/>
        </w:rPr>
        <w:lastRenderedPageBreak/>
        <w:t>Contributor key:</w:t>
      </w:r>
      <w:r>
        <w:rPr>
          <w:lang w:val="en-US" w:bidi="en-US"/>
        </w:rPr>
        <w:t xml:space="preserve"> MK—</w:t>
      </w:r>
      <w:proofErr w:type="spellStart"/>
      <w:r>
        <w:rPr>
          <w:lang w:val="en-US" w:bidi="en-US"/>
        </w:rPr>
        <w:t>Martyn</w:t>
      </w:r>
      <w:proofErr w:type="spellEnd"/>
      <w:r>
        <w:rPr>
          <w:lang w:val="en-US" w:bidi="en-US"/>
        </w:rPr>
        <w:t xml:space="preserve"> Kirk (NCEPH), </w:t>
      </w:r>
      <w:r w:rsidR="00A91AEA">
        <w:rPr>
          <w:lang w:val="en-US" w:bidi="en-US"/>
        </w:rPr>
        <w:t xml:space="preserve">SC—Scott Cameron (U. Adelaide), </w:t>
      </w:r>
      <w:r>
        <w:rPr>
          <w:lang w:val="en-US" w:bidi="en-US"/>
        </w:rPr>
        <w:t xml:space="preserve">SD—Stephanie Davis (NCEPH), </w:t>
      </w:r>
      <w:r w:rsidR="00A91AEA">
        <w:rPr>
          <w:lang w:val="en-US" w:bidi="en-US"/>
        </w:rPr>
        <w:t xml:space="preserve">IH—Ivan </w:t>
      </w:r>
      <w:proofErr w:type="spellStart"/>
      <w:r w:rsidR="00A91AEA">
        <w:rPr>
          <w:lang w:val="en-US" w:bidi="en-US"/>
        </w:rPr>
        <w:t>Hanigan</w:t>
      </w:r>
      <w:proofErr w:type="spellEnd"/>
      <w:r w:rsidR="00A91AEA">
        <w:rPr>
          <w:lang w:val="en-US" w:bidi="en-US"/>
        </w:rPr>
        <w:t xml:space="preserve">, </w:t>
      </w:r>
      <w:r>
        <w:rPr>
          <w:lang w:val="en-US" w:bidi="en-US"/>
        </w:rPr>
        <w:t xml:space="preserve">KA—Kate </w:t>
      </w:r>
      <w:proofErr w:type="spellStart"/>
      <w:r>
        <w:rPr>
          <w:lang w:val="en-US" w:bidi="en-US"/>
        </w:rPr>
        <w:t>Astridge</w:t>
      </w:r>
      <w:proofErr w:type="spellEnd"/>
      <w:r>
        <w:rPr>
          <w:lang w:val="en-US" w:bidi="en-US"/>
        </w:rPr>
        <w:t xml:space="preserve"> (Food Standards Australia New Zealand), RH—Robert Hall (</w:t>
      </w:r>
      <w:proofErr w:type="spellStart"/>
      <w:r>
        <w:rPr>
          <w:lang w:val="en-US" w:bidi="en-US"/>
        </w:rPr>
        <w:t>Monash</w:t>
      </w:r>
      <w:proofErr w:type="spellEnd"/>
      <w:r>
        <w:rPr>
          <w:lang w:val="en-US" w:bidi="en-US"/>
        </w:rPr>
        <w:t xml:space="preserve"> University), RO—Rhonda Owen (Department of Health &amp; Ageing), SW—Stephanie Williams (Department of Health &amp; Ageing)</w:t>
      </w:r>
      <w:r w:rsidR="00184E24">
        <w:rPr>
          <w:lang w:val="en-US" w:bidi="en-US"/>
        </w:rPr>
        <w:t>, MCS—Mark Cooper S</w:t>
      </w:r>
      <w:r w:rsidR="00AC5A21">
        <w:rPr>
          <w:lang w:val="en-US" w:bidi="en-US"/>
        </w:rPr>
        <w:t>t</w:t>
      </w:r>
      <w:r w:rsidR="00184E24">
        <w:rPr>
          <w:lang w:val="en-US" w:bidi="en-US"/>
        </w:rPr>
        <w:t>anbury</w:t>
      </w:r>
    </w:p>
    <w:sectPr w:rsidR="009D7ACA" w:rsidSect="00A14A60">
      <w:headerReference w:type="default" r:id="rId9"/>
      <w:foot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6F91" w:rsidRDefault="00A36F91" w:rsidP="00EE070E">
      <w:r>
        <w:separator/>
      </w:r>
    </w:p>
  </w:endnote>
  <w:endnote w:type="continuationSeparator" w:id="0">
    <w:p w:rsidR="00A36F91" w:rsidRDefault="00A36F91" w:rsidP="00EE07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419"/>
      <w:gridCol w:w="12769"/>
    </w:tblGrid>
    <w:tr w:rsidR="001968A2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1968A2" w:rsidRDefault="001968A2">
          <w:pPr>
            <w:pStyle w:val="Footer"/>
            <w:jc w:val="right"/>
            <w:rPr>
              <w:b/>
              <w:color w:val="FFFFFF" w:themeColor="background1"/>
            </w:rPr>
          </w:pPr>
          <w:fldSimple w:instr=" PAGE   \* MERGEFORMAT ">
            <w:r w:rsidR="00D45256" w:rsidRPr="00D45256">
              <w:rPr>
                <w:noProof/>
                <w:color w:val="FFFFFF" w:themeColor="background1"/>
              </w:rPr>
              <w:t>1</w:t>
            </w:r>
          </w:fldSimple>
        </w:p>
      </w:tc>
      <w:tc>
        <w:tcPr>
          <w:tcW w:w="4500" w:type="pct"/>
          <w:tcBorders>
            <w:top w:val="single" w:sz="4" w:space="0" w:color="auto"/>
          </w:tcBorders>
        </w:tcPr>
        <w:p w:rsidR="001968A2" w:rsidRDefault="00D45256" w:rsidP="00D45256">
          <w:pPr>
            <w:pStyle w:val="Footer"/>
          </w:pPr>
          <w:r>
            <w:t>20 Balmain Crescent ANU</w:t>
          </w:r>
          <w:r w:rsidR="001968A2">
            <w:t xml:space="preserve">| </w:t>
          </w:r>
          <w:r>
            <w:t>National Centre for Epidemiology &amp; Population Health | 27-30 March 2012</w:t>
          </w:r>
        </w:p>
      </w:tc>
    </w:tr>
  </w:tbl>
  <w:p w:rsidR="001968A2" w:rsidRDefault="001968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6F91" w:rsidRDefault="00A36F91" w:rsidP="00EE070E">
      <w:r>
        <w:separator/>
      </w:r>
    </w:p>
  </w:footnote>
  <w:footnote w:type="continuationSeparator" w:id="0">
    <w:p w:rsidR="00A36F91" w:rsidRDefault="00A36F91" w:rsidP="00EE07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2420"/>
      <w:gridCol w:w="1768"/>
    </w:tblGrid>
    <w:tr w:rsidR="00D45256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E773A8E65A6C48848AB463F862C0EA5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D45256" w:rsidRDefault="00D45256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POPH 8317/8917 Public Health Surveillance—Coursework Intensive Agenda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EE9870992D2D41E3A46152BF94FC4526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D45256" w:rsidRDefault="00D45256" w:rsidP="00D45256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2012</w:t>
              </w:r>
            </w:p>
          </w:tc>
        </w:sdtContent>
      </w:sdt>
    </w:tr>
  </w:tbl>
  <w:p w:rsidR="00436BA4" w:rsidRDefault="00436BA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7F858"/>
    <w:multiLevelType w:val="singleLevel"/>
    <w:tmpl w:val="01C978CC"/>
    <w:lvl w:ilvl="0">
      <w:numFmt w:val="bullet"/>
      <w:lvlText w:val="·"/>
      <w:lvlJc w:val="left"/>
      <w:pPr>
        <w:tabs>
          <w:tab w:val="num" w:pos="216"/>
        </w:tabs>
        <w:ind w:left="288"/>
      </w:pPr>
      <w:rPr>
        <w:rFonts w:ascii="Symbol" w:hAnsi="Symbol" w:cs="Symbol"/>
        <w:snapToGrid/>
        <w:spacing w:val="-6"/>
        <w:w w:val="110"/>
        <w:sz w:val="20"/>
        <w:szCs w:val="20"/>
      </w:rPr>
    </w:lvl>
  </w:abstractNum>
  <w:abstractNum w:abstractNumId="1">
    <w:nsid w:val="046F8CEC"/>
    <w:multiLevelType w:val="singleLevel"/>
    <w:tmpl w:val="25C2D55A"/>
    <w:lvl w:ilvl="0">
      <w:start w:val="1"/>
      <w:numFmt w:val="decimal"/>
      <w:lvlText w:val="%1."/>
      <w:lvlJc w:val="left"/>
      <w:pPr>
        <w:tabs>
          <w:tab w:val="num" w:pos="360"/>
        </w:tabs>
        <w:ind w:left="792" w:firstLine="0"/>
      </w:pPr>
      <w:rPr>
        <w:rFonts w:ascii="Tahoma" w:hAnsi="Tahoma" w:cs="Tahoma"/>
        <w:spacing w:val="16"/>
        <w:sz w:val="16"/>
        <w:szCs w:val="16"/>
      </w:rPr>
    </w:lvl>
  </w:abstractNum>
  <w:abstractNum w:abstractNumId="2">
    <w:nsid w:val="04740145"/>
    <w:multiLevelType w:val="hybridMultilevel"/>
    <w:tmpl w:val="BBF8CBA2"/>
    <w:lvl w:ilvl="0" w:tplc="0C090003">
      <w:start w:val="1"/>
      <w:numFmt w:val="bullet"/>
      <w:lvlText w:val="o"/>
      <w:lvlJc w:val="left"/>
      <w:pPr>
        <w:ind w:left="7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3">
    <w:nsid w:val="04A70CFC"/>
    <w:multiLevelType w:val="singleLevel"/>
    <w:tmpl w:val="6D734590"/>
    <w:lvl w:ilvl="0">
      <w:numFmt w:val="bullet"/>
      <w:lvlText w:val="·"/>
      <w:lvlJc w:val="left"/>
      <w:pPr>
        <w:tabs>
          <w:tab w:val="num" w:pos="432"/>
        </w:tabs>
        <w:ind w:left="360" w:firstLine="0"/>
      </w:pPr>
      <w:rPr>
        <w:rFonts w:ascii="Symbol" w:hAnsi="Symbol"/>
        <w:i/>
        <w:spacing w:val="-6"/>
        <w:w w:val="105"/>
        <w:sz w:val="24"/>
      </w:rPr>
    </w:lvl>
  </w:abstractNum>
  <w:abstractNum w:abstractNumId="4">
    <w:nsid w:val="183449AE"/>
    <w:multiLevelType w:val="hybridMultilevel"/>
    <w:tmpl w:val="A84E3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1572A6"/>
    <w:multiLevelType w:val="hybridMultilevel"/>
    <w:tmpl w:val="2F34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B71E99"/>
    <w:multiLevelType w:val="hybridMultilevel"/>
    <w:tmpl w:val="A94A0C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3E2BC4"/>
    <w:multiLevelType w:val="multilevel"/>
    <w:tmpl w:val="B6CC5F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821A8D"/>
    <w:multiLevelType w:val="hybridMultilevel"/>
    <w:tmpl w:val="B5EA54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AB036A"/>
    <w:multiLevelType w:val="hybridMultilevel"/>
    <w:tmpl w:val="68841E2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3B9C1102"/>
    <w:multiLevelType w:val="hybridMultilevel"/>
    <w:tmpl w:val="54C0A8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BA15174"/>
    <w:multiLevelType w:val="hybridMultilevel"/>
    <w:tmpl w:val="3176ED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D7237D"/>
    <w:multiLevelType w:val="hybridMultilevel"/>
    <w:tmpl w:val="4498CE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91104D"/>
    <w:multiLevelType w:val="hybridMultilevel"/>
    <w:tmpl w:val="35988D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1A0089"/>
    <w:multiLevelType w:val="hybridMultilevel"/>
    <w:tmpl w:val="782EE7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4E0DCE"/>
    <w:multiLevelType w:val="hybridMultilevel"/>
    <w:tmpl w:val="A0D22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6B3ACE"/>
    <w:multiLevelType w:val="hybridMultilevel"/>
    <w:tmpl w:val="456EF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195463"/>
    <w:multiLevelType w:val="hybridMultilevel"/>
    <w:tmpl w:val="34A86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365912"/>
    <w:multiLevelType w:val="hybridMultilevel"/>
    <w:tmpl w:val="B6CC5F1C"/>
    <w:lvl w:ilvl="0" w:tplc="E234939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DA1209"/>
    <w:multiLevelType w:val="hybridMultilevel"/>
    <w:tmpl w:val="4D9496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F43704"/>
    <w:multiLevelType w:val="hybridMultilevel"/>
    <w:tmpl w:val="BA8AD0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151319"/>
    <w:multiLevelType w:val="hybridMultilevel"/>
    <w:tmpl w:val="6DC8066C"/>
    <w:lvl w:ilvl="0" w:tplc="1368C77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E0612A4"/>
    <w:multiLevelType w:val="hybridMultilevel"/>
    <w:tmpl w:val="9482B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0E21BA"/>
    <w:multiLevelType w:val="hybridMultilevel"/>
    <w:tmpl w:val="4EFEFC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FE72025"/>
    <w:multiLevelType w:val="hybridMultilevel"/>
    <w:tmpl w:val="A94A0C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21"/>
  </w:num>
  <w:num w:numId="4">
    <w:abstractNumId w:val="8"/>
  </w:num>
  <w:num w:numId="5">
    <w:abstractNumId w:val="19"/>
  </w:num>
  <w:num w:numId="6">
    <w:abstractNumId w:val="14"/>
  </w:num>
  <w:num w:numId="7">
    <w:abstractNumId w:val="10"/>
  </w:num>
  <w:num w:numId="8">
    <w:abstractNumId w:val="23"/>
  </w:num>
  <w:num w:numId="9">
    <w:abstractNumId w:val="2"/>
  </w:num>
  <w:num w:numId="10">
    <w:abstractNumId w:val="0"/>
  </w:num>
  <w:num w:numId="11">
    <w:abstractNumId w:val="1"/>
    <w:lvlOverride w:ilvl="0">
      <w:startOverride w:val="1"/>
    </w:lvlOverride>
  </w:num>
  <w:num w:numId="12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792" w:firstLine="0"/>
        </w:pPr>
        <w:rPr>
          <w:rFonts w:ascii="Tahoma" w:hAnsi="Tahoma" w:cs="Tahoma"/>
          <w:spacing w:val="9"/>
          <w:sz w:val="16"/>
          <w:szCs w:val="16"/>
        </w:rPr>
      </w:lvl>
    </w:lvlOverride>
  </w:num>
  <w:num w:numId="13">
    <w:abstractNumId w:val="3"/>
  </w:num>
  <w:num w:numId="14">
    <w:abstractNumId w:val="20"/>
  </w:num>
  <w:num w:numId="15">
    <w:abstractNumId w:val="13"/>
  </w:num>
  <w:num w:numId="16">
    <w:abstractNumId w:val="18"/>
  </w:num>
  <w:num w:numId="17">
    <w:abstractNumId w:val="12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</w:num>
  <w:num w:numId="20">
    <w:abstractNumId w:val="11"/>
  </w:num>
  <w:num w:numId="21">
    <w:abstractNumId w:val="9"/>
  </w:num>
  <w:num w:numId="22">
    <w:abstractNumId w:val="4"/>
  </w:num>
  <w:num w:numId="23">
    <w:abstractNumId w:val="16"/>
  </w:num>
  <w:num w:numId="24">
    <w:abstractNumId w:val="6"/>
  </w:num>
  <w:num w:numId="25">
    <w:abstractNumId w:val="17"/>
  </w:num>
  <w:num w:numId="26">
    <w:abstractNumId w:val="7"/>
  </w:num>
  <w:num w:numId="27">
    <w:abstractNumId w:val="15"/>
  </w:num>
  <w:num w:numId="28">
    <w:abstractNumId w:val="22"/>
  </w:num>
  <w:num w:numId="2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/>
  <w:rsids>
    <w:rsidRoot w:val="00A72B74"/>
    <w:rsid w:val="00000A8A"/>
    <w:rsid w:val="00040728"/>
    <w:rsid w:val="000507FC"/>
    <w:rsid w:val="00074D9A"/>
    <w:rsid w:val="000843DC"/>
    <w:rsid w:val="00086803"/>
    <w:rsid w:val="000A3419"/>
    <w:rsid w:val="000A5EDD"/>
    <w:rsid w:val="000B2913"/>
    <w:rsid w:val="000B6AAA"/>
    <w:rsid w:val="000C79B1"/>
    <w:rsid w:val="000D5FF0"/>
    <w:rsid w:val="000E6C55"/>
    <w:rsid w:val="0010267D"/>
    <w:rsid w:val="00170AD1"/>
    <w:rsid w:val="0017114F"/>
    <w:rsid w:val="001804E5"/>
    <w:rsid w:val="00184E24"/>
    <w:rsid w:val="00185C0D"/>
    <w:rsid w:val="00192ABC"/>
    <w:rsid w:val="001968A2"/>
    <w:rsid w:val="001A3218"/>
    <w:rsid w:val="001A37C5"/>
    <w:rsid w:val="001A5F07"/>
    <w:rsid w:val="001C2179"/>
    <w:rsid w:val="001E4ABF"/>
    <w:rsid w:val="00200E0A"/>
    <w:rsid w:val="00236A2C"/>
    <w:rsid w:val="00240813"/>
    <w:rsid w:val="002437BB"/>
    <w:rsid w:val="00266739"/>
    <w:rsid w:val="00275AB5"/>
    <w:rsid w:val="00283A49"/>
    <w:rsid w:val="00291810"/>
    <w:rsid w:val="00291C38"/>
    <w:rsid w:val="002A5CEB"/>
    <w:rsid w:val="002B1252"/>
    <w:rsid w:val="002B725D"/>
    <w:rsid w:val="002E4B41"/>
    <w:rsid w:val="002F1554"/>
    <w:rsid w:val="0031785B"/>
    <w:rsid w:val="0032436D"/>
    <w:rsid w:val="00330509"/>
    <w:rsid w:val="00345342"/>
    <w:rsid w:val="0035063F"/>
    <w:rsid w:val="00387D2E"/>
    <w:rsid w:val="003B5718"/>
    <w:rsid w:val="003C3542"/>
    <w:rsid w:val="003D5A0B"/>
    <w:rsid w:val="003E3628"/>
    <w:rsid w:val="003E5529"/>
    <w:rsid w:val="00400B52"/>
    <w:rsid w:val="0041769C"/>
    <w:rsid w:val="0042137E"/>
    <w:rsid w:val="004246CF"/>
    <w:rsid w:val="004305F0"/>
    <w:rsid w:val="0043655B"/>
    <w:rsid w:val="00436BA4"/>
    <w:rsid w:val="00456F57"/>
    <w:rsid w:val="00457909"/>
    <w:rsid w:val="00466CFF"/>
    <w:rsid w:val="0047248B"/>
    <w:rsid w:val="00490FDD"/>
    <w:rsid w:val="004A3A6B"/>
    <w:rsid w:val="004B30E2"/>
    <w:rsid w:val="004B481C"/>
    <w:rsid w:val="004E605C"/>
    <w:rsid w:val="004F31FA"/>
    <w:rsid w:val="00507B3A"/>
    <w:rsid w:val="005135DE"/>
    <w:rsid w:val="0051490C"/>
    <w:rsid w:val="00537B59"/>
    <w:rsid w:val="00557891"/>
    <w:rsid w:val="0057550B"/>
    <w:rsid w:val="005806FA"/>
    <w:rsid w:val="005C55C3"/>
    <w:rsid w:val="005C61F1"/>
    <w:rsid w:val="005D537A"/>
    <w:rsid w:val="005E74A1"/>
    <w:rsid w:val="005F1A4D"/>
    <w:rsid w:val="00631C73"/>
    <w:rsid w:val="006366FA"/>
    <w:rsid w:val="00640AC8"/>
    <w:rsid w:val="00644CD0"/>
    <w:rsid w:val="006728A0"/>
    <w:rsid w:val="0068136E"/>
    <w:rsid w:val="006918AC"/>
    <w:rsid w:val="0069635F"/>
    <w:rsid w:val="006976A1"/>
    <w:rsid w:val="006D1838"/>
    <w:rsid w:val="006D2511"/>
    <w:rsid w:val="006F1C36"/>
    <w:rsid w:val="006F37BD"/>
    <w:rsid w:val="007035F2"/>
    <w:rsid w:val="00705A2E"/>
    <w:rsid w:val="00722A01"/>
    <w:rsid w:val="0073378A"/>
    <w:rsid w:val="00733EAA"/>
    <w:rsid w:val="007421F1"/>
    <w:rsid w:val="00742AAE"/>
    <w:rsid w:val="00743201"/>
    <w:rsid w:val="00750700"/>
    <w:rsid w:val="007547E9"/>
    <w:rsid w:val="00786574"/>
    <w:rsid w:val="00792E3C"/>
    <w:rsid w:val="007B7EB8"/>
    <w:rsid w:val="007C3E96"/>
    <w:rsid w:val="007C411B"/>
    <w:rsid w:val="007C7B76"/>
    <w:rsid w:val="007E22AE"/>
    <w:rsid w:val="007E6CEA"/>
    <w:rsid w:val="007F7B6C"/>
    <w:rsid w:val="00804AC0"/>
    <w:rsid w:val="00807E03"/>
    <w:rsid w:val="0082443F"/>
    <w:rsid w:val="00865DFE"/>
    <w:rsid w:val="00873260"/>
    <w:rsid w:val="008A0555"/>
    <w:rsid w:val="008A61A1"/>
    <w:rsid w:val="008B0B93"/>
    <w:rsid w:val="008B1318"/>
    <w:rsid w:val="008F5899"/>
    <w:rsid w:val="0090491A"/>
    <w:rsid w:val="0091172C"/>
    <w:rsid w:val="00926D79"/>
    <w:rsid w:val="009315E9"/>
    <w:rsid w:val="009327E2"/>
    <w:rsid w:val="0093306F"/>
    <w:rsid w:val="00940816"/>
    <w:rsid w:val="0098619C"/>
    <w:rsid w:val="00991B69"/>
    <w:rsid w:val="009A3759"/>
    <w:rsid w:val="009B1B62"/>
    <w:rsid w:val="009D0245"/>
    <w:rsid w:val="009D7ACA"/>
    <w:rsid w:val="009E14DC"/>
    <w:rsid w:val="009E2425"/>
    <w:rsid w:val="009F0B27"/>
    <w:rsid w:val="00A053DE"/>
    <w:rsid w:val="00A14A60"/>
    <w:rsid w:val="00A21C09"/>
    <w:rsid w:val="00A22433"/>
    <w:rsid w:val="00A235FC"/>
    <w:rsid w:val="00A26BFD"/>
    <w:rsid w:val="00A36F91"/>
    <w:rsid w:val="00A72B74"/>
    <w:rsid w:val="00A7669D"/>
    <w:rsid w:val="00A91AEA"/>
    <w:rsid w:val="00AC5A21"/>
    <w:rsid w:val="00AF30EB"/>
    <w:rsid w:val="00B07D59"/>
    <w:rsid w:val="00B40A75"/>
    <w:rsid w:val="00B6725D"/>
    <w:rsid w:val="00B8635D"/>
    <w:rsid w:val="00BA0A03"/>
    <w:rsid w:val="00BA550D"/>
    <w:rsid w:val="00BD202B"/>
    <w:rsid w:val="00BD44CE"/>
    <w:rsid w:val="00BE2133"/>
    <w:rsid w:val="00BF5AE8"/>
    <w:rsid w:val="00C04636"/>
    <w:rsid w:val="00C04A64"/>
    <w:rsid w:val="00C776AE"/>
    <w:rsid w:val="00CB7288"/>
    <w:rsid w:val="00CC2A49"/>
    <w:rsid w:val="00CD6209"/>
    <w:rsid w:val="00CE308E"/>
    <w:rsid w:val="00CF0C7B"/>
    <w:rsid w:val="00CF7650"/>
    <w:rsid w:val="00D33565"/>
    <w:rsid w:val="00D45256"/>
    <w:rsid w:val="00D55B27"/>
    <w:rsid w:val="00D66937"/>
    <w:rsid w:val="00D7538C"/>
    <w:rsid w:val="00D8293B"/>
    <w:rsid w:val="00D9686C"/>
    <w:rsid w:val="00DA27C6"/>
    <w:rsid w:val="00E17825"/>
    <w:rsid w:val="00E26720"/>
    <w:rsid w:val="00E35788"/>
    <w:rsid w:val="00E42F2B"/>
    <w:rsid w:val="00E44055"/>
    <w:rsid w:val="00E63256"/>
    <w:rsid w:val="00E765C9"/>
    <w:rsid w:val="00E818A2"/>
    <w:rsid w:val="00EB4578"/>
    <w:rsid w:val="00ED5DF7"/>
    <w:rsid w:val="00EE070E"/>
    <w:rsid w:val="00EE35A9"/>
    <w:rsid w:val="00EF4A55"/>
    <w:rsid w:val="00EF61C3"/>
    <w:rsid w:val="00F15E6D"/>
    <w:rsid w:val="00F161C9"/>
    <w:rsid w:val="00F26E94"/>
    <w:rsid w:val="00F32B36"/>
    <w:rsid w:val="00F37DE8"/>
    <w:rsid w:val="00F42AE6"/>
    <w:rsid w:val="00F50116"/>
    <w:rsid w:val="00F50E67"/>
    <w:rsid w:val="00F52C59"/>
    <w:rsid w:val="00F545FD"/>
    <w:rsid w:val="00F614B3"/>
    <w:rsid w:val="00F81E5D"/>
    <w:rsid w:val="00F92219"/>
    <w:rsid w:val="00F95B6D"/>
    <w:rsid w:val="00FA5734"/>
    <w:rsid w:val="00FA6B62"/>
    <w:rsid w:val="00FC14F4"/>
    <w:rsid w:val="00FD620A"/>
    <w:rsid w:val="00FE0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E6D"/>
    <w:pPr>
      <w:spacing w:before="120" w:after="12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43F"/>
    <w:pPr>
      <w:numPr>
        <w:numId w:val="16"/>
      </w:numPr>
      <w:spacing w:before="240"/>
      <w:ind w:left="357" w:hanging="357"/>
      <w:contextualSpacing/>
      <w:outlineLvl w:val="0"/>
    </w:pPr>
    <w:rPr>
      <w:rFonts w:eastAsiaTheme="majorEastAsia" w:cstheme="majorBidi"/>
      <w:b/>
      <w:bCs/>
      <w:smallCaps/>
      <w:sz w:val="24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43F"/>
    <w:pPr>
      <w:keepNext/>
      <w:keepLines/>
      <w:spacing w:before="200"/>
      <w:ind w:left="340"/>
      <w:outlineLvl w:val="1"/>
    </w:pPr>
    <w:rPr>
      <w:rFonts w:eastAsiaTheme="majorEastAsia" w:cstheme="majorBidi"/>
      <w:bCs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72B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A72B74"/>
  </w:style>
  <w:style w:type="character" w:customStyle="1" w:styleId="BodyTextChar">
    <w:name w:val="Body Text Char"/>
    <w:basedOn w:val="DefaultParagraphFont"/>
    <w:link w:val="BodyText"/>
    <w:uiPriority w:val="99"/>
    <w:semiHidden/>
    <w:rsid w:val="00A72B74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BodyText"/>
    <w:rsid w:val="00A72B74"/>
    <w:pPr>
      <w:widowControl w:val="0"/>
      <w:suppressAutoHyphens/>
      <w:spacing w:after="0"/>
    </w:pPr>
    <w:rPr>
      <w:lang w:val="en-US" w:eastAsia="en-AU"/>
    </w:rPr>
  </w:style>
  <w:style w:type="paragraph" w:customStyle="1" w:styleId="TableHeading">
    <w:name w:val="Table Heading"/>
    <w:basedOn w:val="TableContents"/>
    <w:rsid w:val="00A72B74"/>
    <w:pPr>
      <w:suppressLineNumbers/>
      <w:jc w:val="center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2443F"/>
    <w:rPr>
      <w:rFonts w:eastAsiaTheme="majorEastAsia" w:cstheme="majorBidi"/>
      <w:b/>
      <w:bCs/>
      <w:smallCaps/>
      <w:sz w:val="24"/>
      <w:szCs w:val="28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A72B74"/>
    <w:pPr>
      <w:pBdr>
        <w:bottom w:val="single" w:sz="4" w:space="1" w:color="auto"/>
      </w:pBdr>
      <w:spacing w:after="200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A72B74"/>
    <w:rPr>
      <w:rFonts w:asciiTheme="majorHAnsi" w:eastAsiaTheme="majorEastAsia" w:hAnsiTheme="majorHAnsi" w:cstheme="majorBidi"/>
      <w:spacing w:val="5"/>
      <w:sz w:val="52"/>
      <w:szCs w:val="52"/>
      <w:lang w:val="en-US" w:bidi="en-US"/>
    </w:rPr>
  </w:style>
  <w:style w:type="paragraph" w:styleId="ListParagraph">
    <w:name w:val="List Paragraph"/>
    <w:basedOn w:val="Normal"/>
    <w:uiPriority w:val="34"/>
    <w:qFormat/>
    <w:rsid w:val="00A72B74"/>
    <w:pPr>
      <w:spacing w:line="276" w:lineRule="auto"/>
      <w:ind w:left="720"/>
      <w:contextualSpacing/>
    </w:pPr>
    <w:rPr>
      <w:rFonts w:eastAsiaTheme="minorEastAsia" w:cstheme="minorBidi"/>
      <w:szCs w:val="22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EE07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070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07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70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443F"/>
    <w:rPr>
      <w:rFonts w:eastAsiaTheme="majorEastAsia" w:cstheme="majorBidi"/>
      <w:bCs/>
      <w:i/>
      <w:sz w:val="24"/>
      <w:szCs w:val="26"/>
    </w:rPr>
  </w:style>
  <w:style w:type="character" w:styleId="FootnoteReference">
    <w:name w:val="footnote reference"/>
    <w:basedOn w:val="DefaultParagraphFont"/>
    <w:semiHidden/>
    <w:rsid w:val="004E605C"/>
    <w:rPr>
      <w:vertAlign w:val="superscript"/>
    </w:rPr>
  </w:style>
  <w:style w:type="character" w:customStyle="1" w:styleId="articletitle1">
    <w:name w:val="articletitle1"/>
    <w:basedOn w:val="DefaultParagraphFont"/>
    <w:rsid w:val="004E605C"/>
    <w:rPr>
      <w:rFonts w:ascii="Arial" w:hAnsi="Arial" w:cs="Arial" w:hint="default"/>
      <w:b/>
      <w:bCs/>
      <w:color w:val="000000"/>
      <w:sz w:val="18"/>
      <w:szCs w:val="18"/>
    </w:rPr>
  </w:style>
  <w:style w:type="character" w:styleId="IntenseReference">
    <w:name w:val="Intense Reference"/>
    <w:basedOn w:val="DefaultParagraphFont"/>
    <w:uiPriority w:val="32"/>
    <w:qFormat/>
    <w:rsid w:val="00FA6B62"/>
    <w:rPr>
      <w:b/>
      <w:bCs/>
      <w:smallCaps/>
      <w:color w:val="C0504D" w:themeColor="accent2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4F31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75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759"/>
    <w:rPr>
      <w:rFonts w:ascii="Tahoma" w:eastAsia="Times New Roman" w:hAnsi="Tahoma" w:cs="Tahoma"/>
      <w:sz w:val="16"/>
      <w:szCs w:val="16"/>
    </w:rPr>
  </w:style>
  <w:style w:type="table" w:customStyle="1" w:styleId="LightList1">
    <w:name w:val="Light List1"/>
    <w:basedOn w:val="TableNormal"/>
    <w:uiPriority w:val="61"/>
    <w:rsid w:val="009A37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-Accent4">
    <w:name w:val="Medium Shading 2 Accent 4"/>
    <w:basedOn w:val="TableNormal"/>
    <w:uiPriority w:val="64"/>
    <w:rsid w:val="009A37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9A37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9A37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E6D"/>
    <w:pPr>
      <w:spacing w:before="120" w:after="12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43F"/>
    <w:pPr>
      <w:numPr>
        <w:numId w:val="16"/>
      </w:numPr>
      <w:spacing w:before="240"/>
      <w:ind w:left="357" w:hanging="357"/>
      <w:contextualSpacing/>
      <w:outlineLvl w:val="0"/>
    </w:pPr>
    <w:rPr>
      <w:rFonts w:eastAsiaTheme="majorEastAsia" w:cstheme="majorBidi"/>
      <w:b/>
      <w:bCs/>
      <w:smallCaps/>
      <w:sz w:val="24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43F"/>
    <w:pPr>
      <w:keepNext/>
      <w:keepLines/>
      <w:spacing w:before="200"/>
      <w:ind w:left="340"/>
      <w:outlineLvl w:val="1"/>
    </w:pPr>
    <w:rPr>
      <w:rFonts w:eastAsiaTheme="majorEastAsia" w:cstheme="majorBidi"/>
      <w:bCs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72B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A72B74"/>
  </w:style>
  <w:style w:type="character" w:customStyle="1" w:styleId="BodyTextChar">
    <w:name w:val="Body Text Char"/>
    <w:basedOn w:val="DefaultParagraphFont"/>
    <w:link w:val="BodyText"/>
    <w:uiPriority w:val="99"/>
    <w:semiHidden/>
    <w:rsid w:val="00A72B74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BodyText"/>
    <w:rsid w:val="00A72B74"/>
    <w:pPr>
      <w:widowControl w:val="0"/>
      <w:suppressAutoHyphens/>
      <w:spacing w:after="0"/>
    </w:pPr>
    <w:rPr>
      <w:lang w:val="en-US" w:eastAsia="en-AU"/>
    </w:rPr>
  </w:style>
  <w:style w:type="paragraph" w:customStyle="1" w:styleId="TableHeading">
    <w:name w:val="Table Heading"/>
    <w:basedOn w:val="TableContents"/>
    <w:rsid w:val="00A72B74"/>
    <w:pPr>
      <w:suppressLineNumbers/>
      <w:jc w:val="center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2443F"/>
    <w:rPr>
      <w:rFonts w:eastAsiaTheme="majorEastAsia" w:cstheme="majorBidi"/>
      <w:b/>
      <w:bCs/>
      <w:smallCaps/>
      <w:sz w:val="24"/>
      <w:szCs w:val="28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A72B74"/>
    <w:pPr>
      <w:pBdr>
        <w:bottom w:val="single" w:sz="4" w:space="1" w:color="auto"/>
      </w:pBdr>
      <w:spacing w:after="200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A72B74"/>
    <w:rPr>
      <w:rFonts w:asciiTheme="majorHAnsi" w:eastAsiaTheme="majorEastAsia" w:hAnsiTheme="majorHAnsi" w:cstheme="majorBidi"/>
      <w:spacing w:val="5"/>
      <w:sz w:val="52"/>
      <w:szCs w:val="52"/>
      <w:lang w:val="en-US" w:bidi="en-US"/>
    </w:rPr>
  </w:style>
  <w:style w:type="paragraph" w:styleId="ListParagraph">
    <w:name w:val="List Paragraph"/>
    <w:basedOn w:val="Normal"/>
    <w:uiPriority w:val="34"/>
    <w:qFormat/>
    <w:rsid w:val="00A72B74"/>
    <w:pPr>
      <w:spacing w:line="276" w:lineRule="auto"/>
      <w:ind w:left="720"/>
      <w:contextualSpacing/>
    </w:pPr>
    <w:rPr>
      <w:rFonts w:eastAsiaTheme="minorEastAsia" w:cstheme="minorBidi"/>
      <w:szCs w:val="22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EE07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070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07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70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443F"/>
    <w:rPr>
      <w:rFonts w:eastAsiaTheme="majorEastAsia" w:cstheme="majorBidi"/>
      <w:bCs/>
      <w:i/>
      <w:sz w:val="24"/>
      <w:szCs w:val="26"/>
    </w:rPr>
  </w:style>
  <w:style w:type="character" w:styleId="FootnoteReference">
    <w:name w:val="footnote reference"/>
    <w:basedOn w:val="DefaultParagraphFont"/>
    <w:semiHidden/>
    <w:rsid w:val="004E605C"/>
    <w:rPr>
      <w:vertAlign w:val="superscript"/>
    </w:rPr>
  </w:style>
  <w:style w:type="character" w:customStyle="1" w:styleId="articletitle1">
    <w:name w:val="articletitle1"/>
    <w:basedOn w:val="DefaultParagraphFont"/>
    <w:rsid w:val="004E605C"/>
    <w:rPr>
      <w:rFonts w:ascii="Arial" w:hAnsi="Arial" w:cs="Arial" w:hint="default"/>
      <w:b/>
      <w:bCs/>
      <w:color w:val="000000"/>
      <w:sz w:val="18"/>
      <w:szCs w:val="18"/>
    </w:rPr>
  </w:style>
  <w:style w:type="character" w:styleId="IntenseReference">
    <w:name w:val="Intense Reference"/>
    <w:basedOn w:val="DefaultParagraphFont"/>
    <w:uiPriority w:val="32"/>
    <w:qFormat/>
    <w:rsid w:val="00FA6B62"/>
    <w:rPr>
      <w:b/>
      <w:bCs/>
      <w:smallCaps/>
      <w:color w:val="C0504D" w:themeColor="accent2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4F31F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773A8E65A6C48848AB463F862C0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74CEA-87A4-4981-8EAC-8490B2E0D092}"/>
      </w:docPartPr>
      <w:docPartBody>
        <w:p w:rsidR="00000000" w:rsidRDefault="00571C05" w:rsidP="00571C05">
          <w:pPr>
            <w:pStyle w:val="E773A8E65A6C48848AB463F862C0EA5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EE9870992D2D41E3A46152BF94FC4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66AF5-C5AD-401B-92A9-793F2F644940}"/>
      </w:docPartPr>
      <w:docPartBody>
        <w:p w:rsidR="00000000" w:rsidRDefault="00571C05" w:rsidP="00571C05">
          <w:pPr>
            <w:pStyle w:val="EE9870992D2D41E3A46152BF94FC4526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71C05"/>
    <w:rsid w:val="00571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26F18E751344AA920C0D4F68E29224">
    <w:name w:val="C026F18E751344AA920C0D4F68E29224"/>
    <w:rsid w:val="00571C05"/>
  </w:style>
  <w:style w:type="paragraph" w:customStyle="1" w:styleId="3E72831F24E049F9BB9380FD84B02DFD">
    <w:name w:val="3E72831F24E049F9BB9380FD84B02DFD"/>
    <w:rsid w:val="00571C05"/>
  </w:style>
  <w:style w:type="paragraph" w:customStyle="1" w:styleId="A12EA82803714209A44CAFD0E837DCE1">
    <w:name w:val="A12EA82803714209A44CAFD0E837DCE1"/>
    <w:rsid w:val="00571C05"/>
  </w:style>
  <w:style w:type="paragraph" w:customStyle="1" w:styleId="4BEECA9DC1F845DA937E0E7E3084F369">
    <w:name w:val="4BEECA9DC1F845DA937E0E7E3084F369"/>
    <w:rsid w:val="00571C05"/>
  </w:style>
  <w:style w:type="paragraph" w:customStyle="1" w:styleId="F7B7947F80C1420D98243303AD0684DB">
    <w:name w:val="F7B7947F80C1420D98243303AD0684DB"/>
    <w:rsid w:val="00571C05"/>
  </w:style>
  <w:style w:type="paragraph" w:customStyle="1" w:styleId="1F004E864F6F468DA210883651ED7974">
    <w:name w:val="1F004E864F6F468DA210883651ED7974"/>
    <w:rsid w:val="00571C05"/>
  </w:style>
  <w:style w:type="paragraph" w:customStyle="1" w:styleId="F6DBEA9D73BA426EA554758A10E944FC">
    <w:name w:val="F6DBEA9D73BA426EA554758A10E944FC"/>
    <w:rsid w:val="00571C05"/>
  </w:style>
  <w:style w:type="paragraph" w:customStyle="1" w:styleId="E773A8E65A6C48848AB463F862C0EA5D">
    <w:name w:val="E773A8E65A6C48848AB463F862C0EA5D"/>
    <w:rsid w:val="00571C05"/>
  </w:style>
  <w:style w:type="paragraph" w:customStyle="1" w:styleId="EE9870992D2D41E3A46152BF94FC4526">
    <w:name w:val="EE9870992D2D41E3A46152BF94FC4526"/>
    <w:rsid w:val="00571C0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115EAD-CC00-41E1-86EE-98797EB69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POPH 8317/8917 Public Health Surveillance—Coursework Intensive Agenda</dc:title>
  <dc:creator>Mahomed</dc:creator>
  <cp:lastModifiedBy>Rev1</cp:lastModifiedBy>
  <cp:revision>2</cp:revision>
  <cp:lastPrinted>2011-08-19T04:01:00Z</cp:lastPrinted>
  <dcterms:created xsi:type="dcterms:W3CDTF">2012-03-19T01:39:00Z</dcterms:created>
  <dcterms:modified xsi:type="dcterms:W3CDTF">2012-03-19T01:39:00Z</dcterms:modified>
</cp:coreProperties>
</file>