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800"/>
        <w:rPr/>
      </w:pPr>
    </w:p>
    <w:p>
      <w:pPr>
        <w:pStyle w:val="style0"/>
        <w:spacing w:after="500"/>
        <w:jc w:val="center"/>
        <w:rPr/>
      </w:pPr>
      <w:r>
        <w:rPr>
          <w:b/>
          <w:bCs/>
          <w:color w:val="1f3864"/>
          <w:sz w:val="34"/>
          <w:szCs w:val="34"/>
        </w:rPr>
        <w:t>CancerNet: A Convolutional Neural Network for Breast Cancer Histology Image Classification</w:t>
      </w:r>
    </w:p>
    <w:p>
      <w:pPr>
        <w:pStyle w:val="style0"/>
        <w:spacing w:after="200"/>
        <w:jc w:val="center"/>
        <w:rPr/>
      </w:pPr>
      <w:r>
        <w:rPr>
          <w:b/>
          <w:bCs/>
          <w:sz w:val="24"/>
          <w:szCs w:val="24"/>
        </w:rPr>
        <w:t xml:space="preserve">Project Title: </w:t>
      </w:r>
      <w:r>
        <w:rPr>
          <w:sz w:val="24"/>
          <w:szCs w:val="24"/>
        </w:rPr>
        <w:t>CancerNet: A Convolutional Neural Network for Breast Cancer Histology Image Classification</w:t>
      </w:r>
    </w:p>
    <w:p>
      <w:pPr>
        <w:pStyle w:val="style0"/>
        <w:spacing w:after="200"/>
        <w:jc w:val="center"/>
        <w:rPr/>
      </w:pPr>
      <w:r>
        <w:rPr>
          <w:b/>
          <w:bCs/>
          <w:sz w:val="24"/>
          <w:szCs w:val="24"/>
        </w:rPr>
        <w:t xml:space="preserve">Your Name: </w:t>
      </w:r>
      <w:r>
        <w:rPr>
          <w:b/>
          <w:bCs/>
          <w:color w:val="b45309"/>
          <w:highlight w:val="yellow"/>
        </w:rPr>
        <w:t>[</w:t>
      </w:r>
      <w:r>
        <w:rPr>
          <w:b/>
          <w:bCs/>
          <w:color w:val="b45309"/>
          <w:highlight w:val="yellow"/>
          <w:lang w:val="en-US"/>
        </w:rPr>
        <w:t>RAJA V</w:t>
      </w:r>
      <w:r>
        <w:rPr>
          <w:b/>
          <w:bCs/>
          <w:color w:val="b45309"/>
          <w:highlight w:val="yellow"/>
        </w:rPr>
        <w:t>]</w:t>
      </w:r>
    </w:p>
    <w:p>
      <w:pPr>
        <w:pStyle w:val="style0"/>
        <w:spacing w:after="800"/>
        <w:jc w:val="center"/>
        <w:rPr/>
      </w:pPr>
      <w:r>
        <w:rPr>
          <w:b/>
          <w:bCs/>
          <w:sz w:val="24"/>
          <w:szCs w:val="24"/>
        </w:rPr>
        <w:t xml:space="preserve">Date: </w:t>
      </w:r>
      <w:r>
        <w:rPr>
          <w:b/>
          <w:bCs/>
          <w:color w:val="b45309"/>
          <w:highlight w:val="yellow"/>
        </w:rPr>
        <w:t>[</w:t>
      </w:r>
      <w:r>
        <w:rPr>
          <w:b/>
          <w:bCs/>
          <w:color w:val="b45309"/>
          <w:highlight w:val="yellow"/>
          <w:lang w:val="en-US"/>
        </w:rPr>
        <w:t>18/08/2026</w:t>
      </w:r>
      <w:r>
        <w:rPr>
          <w:b/>
          <w:bCs/>
          <w:color w:val="b45309"/>
          <w:highlight w:val="yellow"/>
        </w:rPr>
        <w:t>]</w:t>
      </w:r>
    </w:p>
    <w:p>
      <w:pPr>
        <w:pStyle w:val="style0"/>
        <w:rPr/>
      </w:pPr>
      <w:r>
        <w:br w:type="page"/>
      </w:r>
    </w:p>
    <w:p>
      <w:pPr>
        <w:pStyle w:val="style4097"/>
        <w:spacing w:before="300" w:after="150"/>
        <w:rPr/>
      </w:pPr>
      <w:r>
        <w:t>Abstract</w:t>
      </w:r>
    </w:p>
    <w:p>
      <w:pPr>
        <w:pStyle w:val="style0"/>
        <w:spacing w:after="150"/>
        <w:rPr/>
      </w:pPr>
      <w:r>
        <w:t xml:space="preserve">This project addresses the challenge of early breast cancer detection by building </w:t>
      </w:r>
      <w:r>
        <w:rPr>
          <w:b/>
          <w:bCs/>
        </w:rPr>
        <w:t>CancerNet</w:t>
      </w:r>
      <w:r>
        <w:t xml:space="preserve">, a Convolutional Neural Network (CNN) that classifies 50×50 breast histology image patches as benign or malignant, using the IDC_regular dataset (277,524 patches from 162 whole-mount slide images of Invasive Ductal Carcinoma, the most common breast cancer subtype). Working in the role of Chief Data Scientist for a medical technology company partnered with cancer hospitals, the goal was to design, train, and evaluate a CNN capable of supporting early, accurate diagnosis of malignant tissue. </w:t>
      </w:r>
      <w:r>
        <w:t xml:space="preserve">CancerNet follows a VGG-style architecture built from separable convolutions across three widening blocks (32→64→128 filters), with batch normalization and dropout used throughout to control overfitting, trained with class weighting to address the dataset's ~72:28 benign:malignant imbalance. The model was trained on a 70/10/20 stratified train/validation/test split and evaluated using accuracy, precision, recall, F1-score, ROC-AUC, and a confusion matrix. After training, the model achieved a test accuracy of </w:t>
      </w:r>
      <w:r>
        <w:rPr>
          <w:b/>
          <w:bCs/>
          <w:color w:val="b45309"/>
          <w:highlight w:val="yellow"/>
        </w:rPr>
        <w:t>[PLACEHOLDER: final test accuracy, e.g. 0.87]</w:t>
      </w:r>
      <w:r>
        <w:t xml:space="preserve">, an F1-score of </w:t>
      </w:r>
      <w:r>
        <w:rPr>
          <w:b/>
          <w:bCs/>
          <w:color w:val="b45309"/>
          <w:highlight w:val="yellow"/>
        </w:rPr>
        <w:t>[PLACEHOLDER: F1-score]</w:t>
      </w:r>
      <w:r>
        <w:t xml:space="preserve">, and a sensitivity (recall on the malignant class) of </w:t>
      </w:r>
      <w:r>
        <w:rPr>
          <w:b/>
          <w:bCs/>
          <w:color w:val="b45309"/>
          <w:highlight w:val="yellow"/>
        </w:rPr>
        <w:t>[PLACEHOLDER: sensitivity/recall on malignant class]</w:t>
      </w:r>
      <w:r>
        <w:t xml:space="preserve">. The confusion matrix and training curves indicate the model is </w:t>
      </w:r>
      <w:r>
        <w:rPr>
          <w:b/>
          <w:bCs/>
          <w:color w:val="b45309"/>
          <w:highlight w:val="yellow"/>
        </w:rPr>
        <w:t>[PLACEHOLDER: overfitting / underfitting / a well-generalized optimal fit — state your conclusion here]</w:t>
      </w:r>
      <w:r>
        <w:t>. These results demonstrate the practical viability of CNN-based histology classification as a diagnostic support tool, while also surfacing the real trade-offs — particularly around false negatives — that must be managed before such a model could be deployed in a clinical setting.</w:t>
      </w:r>
    </w:p>
    <w:p>
      <w:pPr>
        <w:pStyle w:val="style0"/>
        <w:rPr/>
      </w:pPr>
      <w:r>
        <w:br w:type="page"/>
      </w:r>
    </w:p>
    <w:p>
      <w:pPr>
        <w:pStyle w:val="style4097"/>
        <w:spacing w:before="300" w:after="150"/>
        <w:rPr/>
      </w:pPr>
      <w:r>
        <w:t>Table of Contents</w:t>
      </w:r>
    </w:p>
    <w:p>
      <w:pPr>
        <w:pStyle w:val="style0"/>
        <w:spacing w:after="150"/>
        <w:rPr/>
      </w:pPr>
      <w:r>
        <w:rPr>
          <w:i/>
          <w:iCs/>
          <w:color w:val="777777"/>
          <w:sz w:val="18"/>
          <w:szCs w:val="18"/>
        </w:rPr>
        <w:t>(Right-click and choose “Update Field” in Word to populate/refresh this list of sections with page numbers.)</w:t>
      </w:r>
    </w:p>
    <w:p>
      <w:pPr>
        <w:pStyle w:val="style0"/>
        <w:rPr/>
      </w:pPr>
      <w:r>
        <w:rPr/>
        <w:fldChar w:fldCharType="begin"/>
      </w:r>
      <w:r>
        <w:instrText>TOC \h \o "1-2"</w:instrText>
      </w:r>
      <w:r>
        <w:rPr/>
        <w:fldChar w:fldCharType="separate"/>
      </w:r>
    </w:p>
    <w:p>
      <w:pPr>
        <w:pStyle w:val="style0"/>
        <w:rPr/>
      </w:pPr>
      <w:r>
        <w:rPr/>
        <w:fldChar w:fldCharType="end"/>
      </w:r>
    </w:p>
    <w:p>
      <w:pPr>
        <w:pStyle w:val="style0"/>
        <w:rPr/>
      </w:pPr>
      <w:r>
        <w:br w:type="page"/>
      </w:r>
    </w:p>
    <w:p>
      <w:pPr>
        <w:pStyle w:val="style4097"/>
        <w:spacing w:before="300" w:after="150"/>
        <w:rPr/>
      </w:pPr>
      <w:r>
        <w:t>1. Introduction</w:t>
      </w:r>
    </w:p>
    <w:p>
      <w:pPr>
        <w:pStyle w:val="style0"/>
        <w:spacing w:after="150"/>
        <w:rPr/>
      </w:pPr>
      <w:r>
        <w:t>Breast cancer (BC) is one of the most common cancers among women worldwide, representing the majority of new cancer cases and cancer-related deaths globally, which makes it a significant public health problem. Early diagnosis substantially improves prognosis and survival, and accurate classification of tumors into benign or malignant groups both enables timely treatment for genuine cancer cases and prevents patients with benign findings from undergoing unnecessary treatment.</w:t>
      </w:r>
    </w:p>
    <w:p>
      <w:pPr>
        <w:pStyle w:val="style0"/>
        <w:spacing w:after="150"/>
        <w:rPr/>
      </w:pPr>
      <w:r>
        <w:t>This project takes on the role of Chief Data Scientist at a medical technology company partnered with cancer hospitals, tasked with building an AI system to identify cancerous patients early from biological microscopic images. The specific focus is Invasive Ductal Carcinoma (IDC), the most common subtype of breast cancer. When pathologists assign an aggressiveness grade to a whole-mount tissue sample, they focus on the regions containing IDC, so a common preprocessing step for automated grading is to first delineate exactly which regions of a slide contain IDC — the task this project's classifier addresses at the patch level.</w:t>
      </w:r>
    </w:p>
    <w:p>
      <w:pPr>
        <w:pStyle w:val="style0"/>
        <w:spacing w:after="150"/>
        <w:rPr/>
      </w:pPr>
      <w:r>
        <w:t>The AI technique used is a Convolutional Neural Network (CNN), a class of deep learning model particularly well suited to image data because its convolutional filters exploit spatial locality and are translation-invariant — properties that let the network learn to recognize textures and structures (such as dense, irregular nuclei clusters) wherever they appear in a patch, without needing hand-engineered features. The specific architecture built for this project, referred to as CancerNet, is implemented using the Keras/TensorFlow deep learning library.</w:t>
      </w:r>
    </w:p>
    <w:p>
      <w:pPr>
        <w:pStyle w:val="style4097"/>
        <w:spacing w:before="300" w:after="150"/>
        <w:rPr/>
      </w:pPr>
      <w:r>
        <w:t>2. Literature Review</w:t>
      </w:r>
    </w:p>
    <w:p>
      <w:pPr>
        <w:pStyle w:val="style0"/>
        <w:spacing w:after="150"/>
        <w:rPr/>
      </w:pPr>
      <w:r>
        <w:t>Automated histopathology image classification has become an active area of applied deep learning research over the past decade, driven by the increasing availability of digitized whole-slide imaging and the diagnostic bottleneck created by a global shortage of pathologists relative to caseload. CNNs have emerged as the dominant approach for this class of problem, consistently outperforming classical machine learning pipelines based on hand-crafted texture features (e.g., Haralick or GLCM features fed into an SVM or Random Forest), because convolutional filters can learn discriminative visual patterns directly from pixel data rather than relying on a fixed, manually chosen feature set.</w:t>
      </w:r>
    </w:p>
    <w:p>
      <w:pPr>
        <w:pStyle w:val="style0"/>
        <w:spacing w:after="150"/>
        <w:rPr/>
      </w:pPr>
      <w:r>
        <w:t>For IDC detection specifically, prior work has shown that patch-based CNN classifiers — trained on small, fixed-size crops (such as the 50×50 patches used in this project) extracted from much larger whole-mount slide images — can achieve strong discriminative performance and, when their patch-level predictions are aggregated back across a full slide, can produce IDC-region heatmaps useful for aggressiveness grading. A recurring architectural theme in this literature is the use of separable convolutions and batch normalization to keep parameter counts and training time manageable on datasets with hundreds of thousands of patches, which is the approach CancerNet follows here.</w:t>
      </w:r>
    </w:p>
    <w:p>
      <w:pPr>
        <w:pStyle w:val="style0"/>
        <w:spacing w:after="150"/>
        <w:rPr/>
      </w:pPr>
      <w:r>
        <w:t>A second recurring theme is the class imbalance inherent to histology datasets: benign tissue vastly outnumbers malignant tissue in typical whole-mount slides, mirroring the ~72:28 split observed in the IDC_regular dataset used in this project. The literature commonly addresses this through class weighting, oversampling of the minority class, or threshold tuning post-training — this project uses class weighting during training, and reports sensitivity (recall on the malignant class) alongside overall accuracy specifically because accuracy alone would be misleading under this imbalance.</w:t>
      </w:r>
    </w:p>
    <w:p>
      <w:pPr>
        <w:pStyle w:val="style4097"/>
        <w:spacing w:before="300" w:after="150"/>
        <w:rPr/>
      </w:pPr>
      <w:r>
        <w:t>3. Problem Statement</w:t>
      </w:r>
    </w:p>
    <w:p>
      <w:pPr>
        <w:pStyle w:val="style0"/>
        <w:spacing w:after="150"/>
        <w:rPr/>
      </w:pPr>
      <w:r>
        <w:t>The core problem is to build a classifier that, given a 50×50 RGB histology image patch, accurately predicts whether the tissue in that patch is benign (IDC-negative) or malignant (IDC-positive), achieving high classification accuracy and precision so the model could plausibly support — though not replace — a pathologist's diagnostic workflow.</w:t>
      </w:r>
    </w:p>
    <w:p>
      <w:pPr>
        <w:pStyle w:val="style179"/>
        <w:numPr>
          <w:ilvl w:val="0"/>
          <w:numId w:val="1"/>
        </w:numPr>
        <w:spacing w:after="80"/>
        <w:rPr/>
      </w:pPr>
      <w:r>
        <w:rPr>
          <w:b w:val="false"/>
          <w:bCs w:val="false"/>
        </w:rPr>
        <w:t>The model operates at the patch level (50×50 pixels), not the whole-slide level; converting patch-level predictions into a full diagnostic read for a patient would require an additional aggregation step not built in this project.</w:t>
      </w:r>
    </w:p>
    <w:p>
      <w:pPr>
        <w:pStyle w:val="style179"/>
        <w:numPr>
          <w:ilvl w:val="0"/>
          <w:numId w:val="1"/>
        </w:numPr>
        <w:spacing w:after="80"/>
        <w:rPr/>
      </w:pPr>
      <w:r>
        <w:rPr>
          <w:b w:val="false"/>
          <w:bCs w:val="false"/>
        </w:rPr>
        <w:t>The IDC_regular dataset consists of pre-extracted, pre-labeled patches from 162 patients; the model's performance on tissue from other scanners, staining protocols, or patient populations is not evaluated here and would need separate validation.</w:t>
      </w:r>
    </w:p>
    <w:p>
      <w:pPr>
        <w:pStyle w:val="style179"/>
        <w:numPr>
          <w:ilvl w:val="0"/>
          <w:numId w:val="1"/>
        </w:numPr>
        <w:spacing w:after="80"/>
        <w:rPr/>
      </w:pPr>
      <w:r>
        <w:rPr>
          <w:b w:val="false"/>
          <w:bCs w:val="false"/>
        </w:rPr>
        <w:t>Class weighting was used to address the ~72:28 benign:malignant imbalance, but no additional techniques (e.g., oversampling, focal loss) were combined with it; further tuning could plausibly improve minority-class recall further.</w:t>
      </w:r>
    </w:p>
    <w:p>
      <w:pPr>
        <w:pStyle w:val="style179"/>
        <w:numPr>
          <w:ilvl w:val="0"/>
          <w:numId w:val="1"/>
        </w:numPr>
        <w:spacing w:after="80"/>
        <w:rPr/>
      </w:pPr>
      <w:r>
        <w:rPr>
          <w:b w:val="false"/>
          <w:bCs w:val="false"/>
        </w:rPr>
        <w:t>This model is a research/coursework artifact, not a validated clinical device — any real-world diagnostic use would require regulatory clearance, extensive external validation, and integration with a pathologist's review, not standalone deployment.</w:t>
      </w:r>
    </w:p>
    <w:p>
      <w:pPr>
        <w:pStyle w:val="style4097"/>
        <w:spacing w:before="300" w:after="150"/>
        <w:rPr/>
      </w:pPr>
      <w:r>
        <w:t>4. Data Collection and Preprocessing</w:t>
      </w:r>
    </w:p>
    <w:p>
      <w:pPr>
        <w:pStyle w:val="style0"/>
        <w:spacing w:after="150"/>
        <w:rPr/>
      </w:pPr>
      <w:r>
        <w:t xml:space="preserve">The dataset used is </w:t>
      </w:r>
      <w:r>
        <w:rPr>
          <w:i/>
          <w:iCs/>
        </w:rPr>
        <w:t>IDC_regular_ps50_idx5</w:t>
      </w:r>
      <w:r>
        <w:t>, publicly available on Kaggle (“Breast Histopathology Images”, originally curated by Janowczyk and Madabhushi). It contains 277,524 patches of size 50×50, extracted from 162 whole-mount slide images of breast cancer specimens scanned at 40x magnification. Of these, 198,738 patches are IDC-negative (benign) and 78,786 are IDC-positive (malignant) — an approximate 72:28 class split. The dataset requires roughly 3.02 GB of disk space and was downloaded directly into the training environment via the Kaggle API.</w:t>
      </w:r>
    </w:p>
    <w:p>
      <w:pPr>
        <w:pStyle w:val="style179"/>
        <w:numPr>
          <w:ilvl w:val="0"/>
          <w:numId w:val="1"/>
        </w:numPr>
        <w:spacing w:after="80"/>
        <w:rPr/>
      </w:pPr>
      <w:r>
        <w:rPr>
          <w:b w:val="false"/>
          <w:bCs w:val="false"/>
        </w:rPr>
        <w:t>Recursively scanned the extracted dataset folders to build a full manifest of image file paths and labels, parsing each label directly from its filename convention (e.g., &lt;patient_id&gt;_idx5_x&lt;X&gt;_y&lt;Y&gt;_class&lt;0 or 1&gt;.png).</w:t>
      </w:r>
    </w:p>
    <w:p>
      <w:pPr>
        <w:pStyle w:val="style179"/>
        <w:numPr>
          <w:ilvl w:val="0"/>
          <w:numId w:val="1"/>
        </w:numPr>
        <w:spacing w:after="80"/>
        <w:rPr/>
      </w:pPr>
      <w:r>
        <w:rPr>
          <w:b w:val="false"/>
          <w:bCs w:val="false"/>
        </w:rPr>
        <w:t>Verified the resulting class balance matched the expected ~72:28 benign:malignant split before proceeding.</w:t>
      </w:r>
    </w:p>
    <w:p>
      <w:pPr>
        <w:pStyle w:val="style179"/>
        <w:numPr>
          <w:ilvl w:val="0"/>
          <w:numId w:val="1"/>
        </w:numPr>
        <w:spacing w:after="80"/>
        <w:rPr/>
      </w:pPr>
      <w:r>
        <w:rPr>
          <w:b w:val="false"/>
          <w:bCs w:val="false"/>
        </w:rPr>
        <w:t>Performed a stratified split into training (70%), validation (10%), and test (20%) sets, preserving the class ratio in each split so that evaluation metrics are not distorted by an accidentally skewed test set.</w:t>
      </w:r>
    </w:p>
    <w:p>
      <w:pPr>
        <w:pStyle w:val="style179"/>
        <w:numPr>
          <w:ilvl w:val="0"/>
          <w:numId w:val="1"/>
        </w:numPr>
        <w:spacing w:after="80"/>
        <w:rPr/>
      </w:pPr>
      <w:r>
        <w:rPr>
          <w:b w:val="false"/>
          <w:bCs w:val="false"/>
        </w:rPr>
        <w:t>Applied class weighting (computed via scikit-learn's “balanced” scheme) during training to counteract the benign-class majority, so the loss function penalizes malignant-class errors proportionally more.</w:t>
      </w:r>
    </w:p>
    <w:p>
      <w:pPr>
        <w:pStyle w:val="style179"/>
        <w:numPr>
          <w:ilvl w:val="0"/>
          <w:numId w:val="1"/>
        </w:numPr>
        <w:spacing w:after="80"/>
        <w:rPr/>
      </w:pPr>
      <w:r>
        <w:rPr>
          <w:b w:val="false"/>
          <w:bCs w:val="false"/>
        </w:rPr>
        <w:t>Rescaled all pixel values to the [0, 1] range and applied data augmentation to the training set only — random rotation, horizontal/vertical flips, width/height shifts, and zoom — to reduce overfitting given the fixed patch size and orientation-independence of tissue texture.</w:t>
      </w:r>
    </w:p>
    <w:p>
      <w:pPr>
        <w:pStyle w:val="style0"/>
        <w:spacing w:after="150"/>
        <w:rPr/>
      </w:pPr>
      <w:r>
        <w:t xml:space="preserve">Sample patches from each class were visually inspected before training </w:t>
      </w:r>
      <w:r>
        <w:rPr>
          <w:b/>
          <w:bCs/>
          <w:color w:val="b45309"/>
          <w:highlight w:val="yellow"/>
        </w:rPr>
        <w:t>[PLACEHOLDER: insert your sample-patch grid image / observations here, e.g. 'malignant patches showed visibly denser, darker nuclei clusters compared to benign patches']</w:t>
      </w:r>
      <w:r>
        <w:t>.</w:t>
      </w:r>
    </w:p>
    <w:p>
      <w:pPr>
        <w:pStyle w:val="style4097"/>
        <w:spacing w:before="300" w:after="150"/>
        <w:rPr/>
      </w:pPr>
      <w:r>
        <w:t>5. Methodology</w:t>
      </w:r>
    </w:p>
    <w:p>
      <w:pPr>
        <w:pStyle w:val="style0"/>
        <w:spacing w:after="150"/>
        <w:rPr/>
      </w:pPr>
      <w:r>
        <w:t>CancerNet is a compact VGG-style Convolutional Neural Network built using Keras. Rather than standard convolutions, it uses separable convolutions throughout, which factorize a standard convolution into a depthwise and a pointwise step — dramatically reducing the parameter count while retaining strong representational power, which is well suited to a dataset of this size (277K images) at this resolution (50×50).</w:t>
      </w:r>
    </w:p>
    <w:p>
      <w:pPr>
        <w:pStyle w:val="style179"/>
        <w:numPr>
          <w:ilvl w:val="0"/>
          <w:numId w:val="1"/>
        </w:numPr>
        <w:spacing w:after="80"/>
        <w:rPr/>
      </w:pPr>
      <w:r>
        <w:rPr>
          <w:b w:val="false"/>
          <w:bCs w:val="false"/>
        </w:rPr>
        <w:t>Block 1: SeparableConv2D (32 filters, 3×3) → ReLU → BatchNormalization → MaxPooling2D (2×2) → Dropout (0.25)</w:t>
      </w:r>
    </w:p>
    <w:p>
      <w:pPr>
        <w:pStyle w:val="style179"/>
        <w:numPr>
          <w:ilvl w:val="0"/>
          <w:numId w:val="1"/>
        </w:numPr>
        <w:spacing w:after="80"/>
        <w:rPr/>
      </w:pPr>
      <w:r>
        <w:rPr>
          <w:b w:val="false"/>
          <w:bCs w:val="false"/>
        </w:rPr>
        <w:t>Block 2: SeparableConv2D (64 filters) × 2 → ReLU → BatchNormalization (after each) → MaxPooling2D → Dropout (0.25)</w:t>
      </w:r>
    </w:p>
    <w:p>
      <w:pPr>
        <w:pStyle w:val="style179"/>
        <w:numPr>
          <w:ilvl w:val="0"/>
          <w:numId w:val="1"/>
        </w:numPr>
        <w:spacing w:after="80"/>
        <w:rPr/>
      </w:pPr>
      <w:r>
        <w:rPr>
          <w:b w:val="false"/>
          <w:bCs w:val="false"/>
        </w:rPr>
        <w:t>Block 3: SeparableConv2D (128 filters) × 3 → ReLU → BatchNormalization (after each) → MaxPooling2D → Dropout (0.25)</w:t>
      </w:r>
    </w:p>
    <w:p>
      <w:pPr>
        <w:pStyle w:val="style179"/>
        <w:numPr>
          <w:ilvl w:val="0"/>
          <w:numId w:val="1"/>
        </w:numPr>
        <w:spacing w:after="80"/>
        <w:rPr/>
      </w:pPr>
      <w:r>
        <w:rPr>
          <w:b w:val="false"/>
          <w:bCs w:val="false"/>
        </w:rPr>
        <w:t>Classifier head: Flatten → Dense (256) → ReLU → BatchNormalization → Dropout (0.5) → Dense (1) → Sigmoid</w:t>
      </w:r>
    </w:p>
    <w:p>
      <w:pPr>
        <w:pStyle w:val="style0"/>
        <w:spacing w:after="150"/>
        <w:rPr/>
      </w:pPr>
      <w:r>
        <w:t>The widening filter pattern (32 → 64 → 128) lets early layers learn low-level texture and color features (e.g., staining intensity, edge patterns) while later layers combine these into higher-level structural patterns (e.g., irregular nuclei clustering characteristic of malignant tissue). Batch normalization after every convolution stabilizes and accelerates training, while dropout at increasing rates (0.25 in the convolutional blocks, 0.5 before the final classification layer) is the primary defense against overfitting given the model's capacity.</w:t>
      </w:r>
    </w:p>
    <w:p>
      <w:pPr>
        <w:pStyle w:val="style0"/>
        <w:spacing w:after="150"/>
        <w:rPr/>
      </w:pPr>
      <w:r>
        <w:t>The model was compiled with binary cross-entropy loss (appropriate for the binary benign/malignant target) and the Adagrad optimizer, and trained with class weighting as described in Section 4. Accuracy, precision, recall, and AUC were tracked as metrics during training in addition to loss.</w:t>
      </w:r>
    </w:p>
    <w:p>
      <w:pPr>
        <w:pStyle w:val="style4097"/>
        <w:spacing w:before="300" w:after="150"/>
        <w:rPr/>
      </w:pPr>
      <w:r>
        <w:t>6. Implementation</w:t>
      </w:r>
    </w:p>
    <w:p>
      <w:pPr>
        <w:pStyle w:val="style0"/>
        <w:spacing w:after="150"/>
        <w:rPr/>
      </w:pPr>
      <w:r>
        <w:t>The project was implemented in Python using TensorFlow/Keras, scikit-learn, pandas, NumPy, OpenCV, and matplotlib/seaborn, run in Google Colab with GPU acceleration. The dataset was downloaded directly into the Colab environment via the Kaggle API, avoiding the need to manually transfer the ~3GB dataset from a local machine.</w:t>
      </w:r>
    </w:p>
    <w:p>
      <w:pPr>
        <w:pStyle w:val="style0"/>
        <w:spacing w:after="150"/>
        <w:rPr/>
      </w:pPr>
      <w:r>
        <w:rPr>
          <w:b/>
          <w:bCs/>
        </w:rPr>
        <w:t xml:space="preserve">Code repository: </w:t>
      </w:r>
    </w:p>
    <w:p>
      <w:pPr>
        <w:pStyle w:val="style0"/>
        <w:spacing w:after="150"/>
        <w:rPr/>
      </w:pPr>
      <w:r>
        <w:rPr>
          <w:b/>
          <w:bCs/>
          <w:color w:val="b45309"/>
          <w:highlight w:val="yellow"/>
        </w:rPr>
        <w:t>[PLACEHOLDER: Add your GitHub link here]</w:t>
      </w:r>
    </w:p>
    <w:p>
      <w:pPr>
        <w:pStyle w:val="style0"/>
        <w:shd w:val="clear" w:color="auto" w:fill="f2f2f2"/>
        <w:spacing w:after="200"/>
        <w:rPr/>
      </w:pPr>
      <w:r>
        <w:rPr>
          <w:rFonts w:ascii="Courier New" w:cs="Courier New" w:eastAsia="Courier New" w:hAnsi="Courier New"/>
          <w:sz w:val="18"/>
          <w:szCs w:val="18"/>
        </w:rPr>
        <w:t>def build_cancernet(width=50, height=50, depth=3, classes=1):</w:t>
      </w:r>
      <w:r>
        <w:rPr>
          <w:rFonts w:ascii="Courier New" w:cs="Courier New" w:eastAsia="Courier New" w:hAnsi="Courier New"/>
          <w:sz w:val="18"/>
          <w:szCs w:val="18"/>
        </w:rPr>
        <w:br/>
      </w:r>
      <w:r>
        <w:rPr>
          <w:rFonts w:ascii="Courier New" w:cs="Courier New" w:eastAsia="Courier New" w:hAnsi="Courier New"/>
          <w:sz w:val="18"/>
          <w:szCs w:val="18"/>
        </w:rPr>
        <w:t xml:space="preserve">    model = Sequential(name="CancerNet")</w:t>
      </w:r>
      <w:r>
        <w:rPr>
          <w:rFonts w:ascii="Courier New" w:cs="Courier New" w:eastAsia="Courier New" w:hAnsi="Courier New"/>
          <w:sz w:val="18"/>
          <w:szCs w:val="18"/>
        </w:rPr>
        <w:br/>
      </w:r>
      <w:r>
        <w:rPr>
          <w:rFonts w:ascii="Courier New" w:cs="Courier New" w:eastAsia="Courier New" w:hAnsi="Courier New"/>
          <w:sz w:val="18"/>
          <w:szCs w:val="18"/>
        </w:rPr>
        <w:t xml:space="preserve">    model.add(Input(shape=(height, width, depth)))</w:t>
      </w:r>
      <w:r>
        <w:rPr>
          <w:rFonts w:ascii="Courier New" w:cs="Courier New" w:eastAsia="Courier New" w:hAnsi="Courier New"/>
          <w:sz w:val="18"/>
          <w:szCs w:val="18"/>
        </w:rPr>
        <w:br/>
      </w:r>
      <w:r>
        <w:rPr>
          <w:rFonts w:ascii="Courier New" w:cs="Courier New" w:eastAsia="Courier New" w:hAnsi="Courier New"/>
          <w:sz w:val="18"/>
          <w:szCs w:val="18"/>
        </w:rPr>
        <w:t xml:space="preserve"> </w:t>
      </w:r>
      <w:r>
        <w:rPr>
          <w:rFonts w:ascii="Courier New" w:cs="Courier New" w:eastAsia="Courier New" w:hAnsi="Courier New"/>
          <w:sz w:val="18"/>
          <w:szCs w:val="18"/>
        </w:rPr>
        <w:br/>
      </w:r>
      <w:r>
        <w:rPr>
          <w:rFonts w:ascii="Courier New" w:cs="Courier New" w:eastAsia="Courier New" w:hAnsi="Courier New"/>
          <w:sz w:val="18"/>
          <w:szCs w:val="18"/>
        </w:rPr>
        <w:t xml:space="preserve">    # Block 1</w:t>
      </w:r>
      <w:r>
        <w:rPr>
          <w:rFonts w:ascii="Courier New" w:cs="Courier New" w:eastAsia="Courier New" w:hAnsi="Courier New"/>
          <w:sz w:val="18"/>
          <w:szCs w:val="18"/>
        </w:rPr>
        <w:br/>
      </w:r>
      <w:r>
        <w:rPr>
          <w:rFonts w:ascii="Courier New" w:cs="Courier New" w:eastAsia="Courier New" w:hAnsi="Courier New"/>
          <w:sz w:val="18"/>
          <w:szCs w:val="18"/>
        </w:rPr>
        <w:t xml:space="preserve">    model.add(SeparableConv2D(32, (3, 3), padding="same"))</w:t>
      </w:r>
      <w:r>
        <w:rPr>
          <w:rFonts w:ascii="Courier New" w:cs="Courier New" w:eastAsia="Courier New" w:hAnsi="Courier New"/>
          <w:sz w:val="18"/>
          <w:szCs w:val="18"/>
        </w:rPr>
        <w:br/>
      </w:r>
      <w:r>
        <w:rPr>
          <w:rFonts w:ascii="Courier New" w:cs="Courier New" w:eastAsia="Courier New" w:hAnsi="Courier New"/>
          <w:sz w:val="18"/>
          <w:szCs w:val="18"/>
        </w:rPr>
        <w:t xml:space="preserve">    model.add(Activation("relu"))</w:t>
      </w:r>
      <w:r>
        <w:rPr>
          <w:rFonts w:ascii="Courier New" w:cs="Courier New" w:eastAsia="Courier New" w:hAnsi="Courier New"/>
          <w:sz w:val="18"/>
          <w:szCs w:val="18"/>
        </w:rPr>
        <w:br/>
      </w:r>
      <w:r>
        <w:rPr>
          <w:rFonts w:ascii="Courier New" w:cs="Courier New" w:eastAsia="Courier New" w:hAnsi="Courier New"/>
          <w:sz w:val="18"/>
          <w:szCs w:val="18"/>
        </w:rPr>
        <w:t xml:space="preserve">    model.add(BatchNormalization(axis=-1))</w:t>
      </w:r>
      <w:r>
        <w:rPr>
          <w:rFonts w:ascii="Courier New" w:cs="Courier New" w:eastAsia="Courier New" w:hAnsi="Courier New"/>
          <w:sz w:val="18"/>
          <w:szCs w:val="18"/>
        </w:rPr>
        <w:br/>
      </w:r>
      <w:r>
        <w:rPr>
          <w:rFonts w:ascii="Courier New" w:cs="Courier New" w:eastAsia="Courier New" w:hAnsi="Courier New"/>
          <w:sz w:val="18"/>
          <w:szCs w:val="18"/>
        </w:rPr>
        <w:t xml:space="preserve">    model.add(MaxPooling2D(pool_size=(2, 2)))</w:t>
      </w:r>
      <w:r>
        <w:rPr>
          <w:rFonts w:ascii="Courier New" w:cs="Courier New" w:eastAsia="Courier New" w:hAnsi="Courier New"/>
          <w:sz w:val="18"/>
          <w:szCs w:val="18"/>
        </w:rPr>
        <w:br/>
      </w:r>
      <w:r>
        <w:rPr>
          <w:rFonts w:ascii="Courier New" w:cs="Courier New" w:eastAsia="Courier New" w:hAnsi="Courier New"/>
          <w:sz w:val="18"/>
          <w:szCs w:val="18"/>
        </w:rPr>
        <w:t xml:space="preserve">    model.add(Dropout(0.25))</w:t>
      </w:r>
      <w:r>
        <w:rPr>
          <w:rFonts w:ascii="Courier New" w:cs="Courier New" w:eastAsia="Courier New" w:hAnsi="Courier New"/>
          <w:sz w:val="18"/>
          <w:szCs w:val="18"/>
        </w:rPr>
        <w:br/>
      </w:r>
      <w:r>
        <w:rPr>
          <w:rFonts w:ascii="Courier New" w:cs="Courier New" w:eastAsia="Courier New" w:hAnsi="Courier New"/>
          <w:sz w:val="18"/>
          <w:szCs w:val="18"/>
        </w:rPr>
        <w:t xml:space="preserve"> </w:t>
      </w:r>
      <w:r>
        <w:rPr>
          <w:rFonts w:ascii="Courier New" w:cs="Courier New" w:eastAsia="Courier New" w:hAnsi="Courier New"/>
          <w:sz w:val="18"/>
          <w:szCs w:val="18"/>
        </w:rPr>
        <w:br/>
      </w:r>
      <w:r>
        <w:rPr>
          <w:rFonts w:ascii="Courier New" w:cs="Courier New" w:eastAsia="Courier New" w:hAnsi="Courier New"/>
          <w:sz w:val="18"/>
          <w:szCs w:val="18"/>
        </w:rPr>
        <w:t xml:space="preserve">    # Block 2</w:t>
      </w:r>
      <w:r>
        <w:rPr>
          <w:rFonts w:ascii="Courier New" w:cs="Courier New" w:eastAsia="Courier New" w:hAnsi="Courier New"/>
          <w:sz w:val="18"/>
          <w:szCs w:val="18"/>
        </w:rPr>
        <w:br/>
      </w:r>
      <w:r>
        <w:rPr>
          <w:rFonts w:ascii="Courier New" w:cs="Courier New" w:eastAsia="Courier New" w:hAnsi="Courier New"/>
          <w:sz w:val="18"/>
          <w:szCs w:val="18"/>
        </w:rPr>
        <w:t xml:space="preserve">    model.add(SeparableConv2D(64, (3, 3), padding="same"))</w:t>
      </w:r>
      <w:r>
        <w:rPr>
          <w:rFonts w:ascii="Courier New" w:cs="Courier New" w:eastAsia="Courier New" w:hAnsi="Courier New"/>
          <w:sz w:val="18"/>
          <w:szCs w:val="18"/>
        </w:rPr>
        <w:br/>
      </w:r>
      <w:r>
        <w:rPr>
          <w:rFonts w:ascii="Courier New" w:cs="Courier New" w:eastAsia="Courier New" w:hAnsi="Courier New"/>
          <w:sz w:val="18"/>
          <w:szCs w:val="18"/>
        </w:rPr>
        <w:t xml:space="preserve">    model.add(Activation("relu"))</w:t>
      </w:r>
      <w:r>
        <w:rPr>
          <w:rFonts w:ascii="Courier New" w:cs="Courier New" w:eastAsia="Courier New" w:hAnsi="Courier New"/>
          <w:sz w:val="18"/>
          <w:szCs w:val="18"/>
        </w:rPr>
        <w:br/>
      </w:r>
      <w:r>
        <w:rPr>
          <w:rFonts w:ascii="Courier New" w:cs="Courier New" w:eastAsia="Courier New" w:hAnsi="Courier New"/>
          <w:sz w:val="18"/>
          <w:szCs w:val="18"/>
        </w:rPr>
        <w:t xml:space="preserve">    model.add(BatchNormalization(axis=-1))</w:t>
      </w:r>
      <w:r>
        <w:rPr>
          <w:rFonts w:ascii="Courier New" w:cs="Courier New" w:eastAsia="Courier New" w:hAnsi="Courier New"/>
          <w:sz w:val="18"/>
          <w:szCs w:val="18"/>
        </w:rPr>
        <w:br/>
      </w:r>
      <w:r>
        <w:rPr>
          <w:rFonts w:ascii="Courier New" w:cs="Courier New" w:eastAsia="Courier New" w:hAnsi="Courier New"/>
          <w:sz w:val="18"/>
          <w:szCs w:val="18"/>
        </w:rPr>
        <w:t xml:space="preserve">    model.add(SeparableConv2D(64, (3, 3), padding="same"))</w:t>
      </w:r>
      <w:r>
        <w:rPr>
          <w:rFonts w:ascii="Courier New" w:cs="Courier New" w:eastAsia="Courier New" w:hAnsi="Courier New"/>
          <w:sz w:val="18"/>
          <w:szCs w:val="18"/>
        </w:rPr>
        <w:br/>
      </w:r>
      <w:r>
        <w:rPr>
          <w:rFonts w:ascii="Courier New" w:cs="Courier New" w:eastAsia="Courier New" w:hAnsi="Courier New"/>
          <w:sz w:val="18"/>
          <w:szCs w:val="18"/>
        </w:rPr>
        <w:t xml:space="preserve">    model.add(Activation("relu"))</w:t>
      </w:r>
      <w:r>
        <w:rPr>
          <w:rFonts w:ascii="Courier New" w:cs="Courier New" w:eastAsia="Courier New" w:hAnsi="Courier New"/>
          <w:sz w:val="18"/>
          <w:szCs w:val="18"/>
        </w:rPr>
        <w:br/>
      </w:r>
      <w:r>
        <w:rPr>
          <w:rFonts w:ascii="Courier New" w:cs="Courier New" w:eastAsia="Courier New" w:hAnsi="Courier New"/>
          <w:sz w:val="18"/>
          <w:szCs w:val="18"/>
        </w:rPr>
        <w:t xml:space="preserve">    model.add(BatchNormalization(axis=-1))</w:t>
      </w:r>
      <w:r>
        <w:rPr>
          <w:rFonts w:ascii="Courier New" w:cs="Courier New" w:eastAsia="Courier New" w:hAnsi="Courier New"/>
          <w:sz w:val="18"/>
          <w:szCs w:val="18"/>
        </w:rPr>
        <w:br/>
      </w:r>
      <w:r>
        <w:rPr>
          <w:rFonts w:ascii="Courier New" w:cs="Courier New" w:eastAsia="Courier New" w:hAnsi="Courier New"/>
          <w:sz w:val="18"/>
          <w:szCs w:val="18"/>
        </w:rPr>
        <w:t xml:space="preserve">    model.add(MaxPooling2D(pool_size=(2, 2)))</w:t>
      </w:r>
      <w:r>
        <w:rPr>
          <w:rFonts w:ascii="Courier New" w:cs="Courier New" w:eastAsia="Courier New" w:hAnsi="Courier New"/>
          <w:sz w:val="18"/>
          <w:szCs w:val="18"/>
        </w:rPr>
        <w:br/>
      </w:r>
      <w:r>
        <w:rPr>
          <w:rFonts w:ascii="Courier New" w:cs="Courier New" w:eastAsia="Courier New" w:hAnsi="Courier New"/>
          <w:sz w:val="18"/>
          <w:szCs w:val="18"/>
        </w:rPr>
        <w:t xml:space="preserve">    model.add(Dropout(0.25))</w:t>
      </w:r>
      <w:r>
        <w:rPr>
          <w:rFonts w:ascii="Courier New" w:cs="Courier New" w:eastAsia="Courier New" w:hAnsi="Courier New"/>
          <w:sz w:val="18"/>
          <w:szCs w:val="18"/>
        </w:rPr>
        <w:br/>
      </w:r>
      <w:r>
        <w:rPr>
          <w:rFonts w:ascii="Courier New" w:cs="Courier New" w:eastAsia="Courier New" w:hAnsi="Courier New"/>
          <w:sz w:val="18"/>
          <w:szCs w:val="18"/>
        </w:rPr>
        <w:t xml:space="preserve"> </w:t>
      </w:r>
      <w:r>
        <w:rPr>
          <w:rFonts w:ascii="Courier New" w:cs="Courier New" w:eastAsia="Courier New" w:hAnsi="Courier New"/>
          <w:sz w:val="18"/>
          <w:szCs w:val="18"/>
        </w:rPr>
        <w:br/>
      </w:r>
      <w:r>
        <w:rPr>
          <w:rFonts w:ascii="Courier New" w:cs="Courier New" w:eastAsia="Courier New" w:hAnsi="Courier New"/>
          <w:sz w:val="18"/>
          <w:szCs w:val="18"/>
        </w:rPr>
        <w:t xml:space="preserve">    # ... Block 3 (128 filters x3) follows the same pattern ...</w:t>
      </w:r>
      <w:r>
        <w:rPr>
          <w:rFonts w:ascii="Courier New" w:cs="Courier New" w:eastAsia="Courier New" w:hAnsi="Courier New"/>
          <w:sz w:val="18"/>
          <w:szCs w:val="18"/>
        </w:rPr>
        <w:br/>
      </w:r>
      <w:r>
        <w:rPr>
          <w:rFonts w:ascii="Courier New" w:cs="Courier New" w:eastAsia="Courier New" w:hAnsi="Courier New"/>
          <w:sz w:val="18"/>
          <w:szCs w:val="18"/>
        </w:rPr>
        <w:t xml:space="preserve"> </w:t>
      </w:r>
      <w:r>
        <w:rPr>
          <w:rFonts w:ascii="Courier New" w:cs="Courier New" w:eastAsia="Courier New" w:hAnsi="Courier New"/>
          <w:sz w:val="18"/>
          <w:szCs w:val="18"/>
        </w:rPr>
        <w:br/>
      </w:r>
      <w:r>
        <w:rPr>
          <w:rFonts w:ascii="Courier New" w:cs="Courier New" w:eastAsia="Courier New" w:hAnsi="Courier New"/>
          <w:sz w:val="18"/>
          <w:szCs w:val="18"/>
        </w:rPr>
        <w:t xml:space="preserve">    model.add(Flatten())</w:t>
      </w:r>
      <w:r>
        <w:rPr>
          <w:rFonts w:ascii="Courier New" w:cs="Courier New" w:eastAsia="Courier New" w:hAnsi="Courier New"/>
          <w:sz w:val="18"/>
          <w:szCs w:val="18"/>
        </w:rPr>
        <w:br/>
      </w:r>
      <w:r>
        <w:rPr>
          <w:rFonts w:ascii="Courier New" w:cs="Courier New" w:eastAsia="Courier New" w:hAnsi="Courier New"/>
          <w:sz w:val="18"/>
          <w:szCs w:val="18"/>
        </w:rPr>
        <w:t xml:space="preserve">    model.add(Dense(256))</w:t>
      </w:r>
      <w:r>
        <w:rPr>
          <w:rFonts w:ascii="Courier New" w:cs="Courier New" w:eastAsia="Courier New" w:hAnsi="Courier New"/>
          <w:sz w:val="18"/>
          <w:szCs w:val="18"/>
        </w:rPr>
        <w:br/>
      </w:r>
      <w:r>
        <w:rPr>
          <w:rFonts w:ascii="Courier New" w:cs="Courier New" w:eastAsia="Courier New" w:hAnsi="Courier New"/>
          <w:sz w:val="18"/>
          <w:szCs w:val="18"/>
        </w:rPr>
        <w:t xml:space="preserve">    model.add(Activation("relu"))</w:t>
      </w:r>
      <w:r>
        <w:rPr>
          <w:rFonts w:ascii="Courier New" w:cs="Courier New" w:eastAsia="Courier New" w:hAnsi="Courier New"/>
          <w:sz w:val="18"/>
          <w:szCs w:val="18"/>
        </w:rPr>
        <w:br/>
      </w:r>
      <w:r>
        <w:rPr>
          <w:rFonts w:ascii="Courier New" w:cs="Courier New" w:eastAsia="Courier New" w:hAnsi="Courier New"/>
          <w:sz w:val="18"/>
          <w:szCs w:val="18"/>
        </w:rPr>
        <w:t xml:space="preserve">    model.add(BatchNormalization())</w:t>
      </w:r>
      <w:r>
        <w:rPr>
          <w:rFonts w:ascii="Courier New" w:cs="Courier New" w:eastAsia="Courier New" w:hAnsi="Courier New"/>
          <w:sz w:val="18"/>
          <w:szCs w:val="18"/>
        </w:rPr>
        <w:br/>
      </w:r>
      <w:r>
        <w:rPr>
          <w:rFonts w:ascii="Courier New" w:cs="Courier New" w:eastAsia="Courier New" w:hAnsi="Courier New"/>
          <w:sz w:val="18"/>
          <w:szCs w:val="18"/>
        </w:rPr>
        <w:t xml:space="preserve">    model.add(Dropout(0.5))</w:t>
      </w:r>
      <w:r>
        <w:rPr>
          <w:rFonts w:ascii="Courier New" w:cs="Courier New" w:eastAsia="Courier New" w:hAnsi="Courier New"/>
          <w:sz w:val="18"/>
          <w:szCs w:val="18"/>
        </w:rPr>
        <w:br/>
      </w:r>
      <w:r>
        <w:rPr>
          <w:rFonts w:ascii="Courier New" w:cs="Courier New" w:eastAsia="Courier New" w:hAnsi="Courier New"/>
          <w:sz w:val="18"/>
          <w:szCs w:val="18"/>
        </w:rPr>
        <w:t xml:space="preserve">    model.add(Dense(classes))</w:t>
      </w:r>
      <w:r>
        <w:rPr>
          <w:rFonts w:ascii="Courier New" w:cs="Courier New" w:eastAsia="Courier New" w:hAnsi="Courier New"/>
          <w:sz w:val="18"/>
          <w:szCs w:val="18"/>
        </w:rPr>
        <w:br/>
      </w:r>
      <w:r>
        <w:rPr>
          <w:rFonts w:ascii="Courier New" w:cs="Courier New" w:eastAsia="Courier New" w:hAnsi="Courier New"/>
          <w:sz w:val="18"/>
          <w:szCs w:val="18"/>
        </w:rPr>
        <w:t xml:space="preserve">    model.add(Activation("sigmoid"))</w:t>
      </w:r>
      <w:r>
        <w:rPr>
          <w:rFonts w:ascii="Courier New" w:cs="Courier New" w:eastAsia="Courier New" w:hAnsi="Courier New"/>
          <w:sz w:val="18"/>
          <w:szCs w:val="18"/>
        </w:rPr>
        <w:br/>
      </w:r>
      <w:r>
        <w:rPr>
          <w:rFonts w:ascii="Courier New" w:cs="Courier New" w:eastAsia="Courier New" w:hAnsi="Courier New"/>
          <w:sz w:val="18"/>
          <w:szCs w:val="18"/>
        </w:rPr>
        <w:t xml:space="preserve">    return model</w:t>
      </w:r>
    </w:p>
    <w:p>
      <w:pPr>
        <w:pStyle w:val="style0"/>
        <w:spacing w:after="150"/>
        <w:rPr/>
      </w:pPr>
      <w:r>
        <w:t>Training used EarlyStopping (patience 5 on validation loss) to avoid unnecessary overfitting from excess epochs, ReduceLROnPlateau to lower the learning rate when validation loss plateaued, and ModelCheckpoint to persist only the best-performing weights. Full training, evaluation, and prediction code is included as an appendix and as a separate downloadable notebook.</w:t>
      </w:r>
    </w:p>
    <w:p>
      <w:pPr>
        <w:pStyle w:val="style4097"/>
        <w:spacing w:before="300" w:after="150"/>
        <w:rPr/>
      </w:pPr>
      <w:r>
        <w:t>7. Results</w:t>
      </w:r>
    </w:p>
    <w:p>
      <w:pPr>
        <w:pStyle w:val="style0"/>
        <w:spacing w:after="150"/>
        <w:rPr/>
      </w:pPr>
      <w:r>
        <w:t xml:space="preserve">The training and testing split used was </w:t>
      </w:r>
      <w:r>
        <w:rPr>
          <w:b/>
          <w:bCs/>
        </w:rPr>
        <w:t>70% train / 10% validation / 20% test</w:t>
      </w:r>
      <w:r>
        <w:t xml:space="preserve">, stratified by class label. The model was trained for up to 40 epochs with early stopping; training actually ran for </w:t>
      </w:r>
      <w:r>
        <w:rPr>
          <w:b/>
          <w:bCs/>
          <w:color w:val="b45309"/>
          <w:highlight w:val="yellow"/>
        </w:rPr>
        <w:t>[PLACEHOLDER: total number of epochs actually completed before early stopping (or 40 if it ran the full schedule)]</w:t>
      </w:r>
      <w:r>
        <w:t xml:space="preserve"> epochs on this run.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3290"/>
        <w:gridCol w:w="3290"/>
      </w:tblGrid>
      <w:tr>
        <w:trPr/>
        <w:tc>
          <w:tcPr>
            <w:tcW w:w="3500" w:type="dxa"/>
            <w:tcBorders/>
            <w:shd w:val="clear" w:color="auto" w:fill="2f5496"/>
            <w:tcMar>
              <w:top w:w="80" w:type="dxa"/>
              <w:left w:w="100" w:type="dxa"/>
              <w:bottom w:w="80" w:type="dxa"/>
              <w:right w:w="100" w:type="dxa"/>
            </w:tcMar>
          </w:tcPr>
          <w:p>
            <w:pPr>
              <w:pStyle w:val="style0"/>
              <w:jc w:val="left"/>
              <w:rPr/>
            </w:pPr>
            <w:r>
              <w:rPr>
                <w:b/>
                <w:bCs/>
                <w:color w:val="ffffff"/>
                <w:sz w:val="19"/>
                <w:szCs w:val="19"/>
              </w:rPr>
              <w:t>Checkpoint</w:t>
            </w:r>
          </w:p>
        </w:tc>
        <w:tc>
          <w:tcPr>
            <w:tcW w:w="3290" w:type="dxa"/>
            <w:tcBorders/>
            <w:shd w:val="clear" w:color="auto" w:fill="2f5496"/>
            <w:tcMar>
              <w:top w:w="80" w:type="dxa"/>
              <w:left w:w="100" w:type="dxa"/>
              <w:bottom w:w="80" w:type="dxa"/>
              <w:right w:w="100" w:type="dxa"/>
            </w:tcMar>
          </w:tcPr>
          <w:p>
            <w:pPr>
              <w:pStyle w:val="style0"/>
              <w:jc w:val="center"/>
              <w:rPr/>
            </w:pPr>
            <w:r>
              <w:rPr>
                <w:b/>
                <w:bCs/>
                <w:color w:val="ffffff"/>
                <w:sz w:val="19"/>
                <w:szCs w:val="19"/>
              </w:rPr>
              <w:t>Train Accuracy</w:t>
            </w:r>
          </w:p>
        </w:tc>
        <w:tc>
          <w:tcPr>
            <w:tcW w:w="3290" w:type="dxa"/>
            <w:tcBorders/>
            <w:shd w:val="clear" w:color="auto" w:fill="2f5496"/>
            <w:tcMar>
              <w:top w:w="80" w:type="dxa"/>
              <w:left w:w="100" w:type="dxa"/>
              <w:bottom w:w="80" w:type="dxa"/>
              <w:right w:w="100" w:type="dxa"/>
            </w:tcMar>
          </w:tcPr>
          <w:p>
            <w:pPr>
              <w:pStyle w:val="style0"/>
              <w:jc w:val="center"/>
              <w:rPr/>
            </w:pPr>
            <w:r>
              <w:rPr>
                <w:b/>
                <w:bCs/>
                <w:color w:val="ffffff"/>
                <w:sz w:val="19"/>
                <w:szCs w:val="19"/>
              </w:rPr>
              <w:t>Validation Accuracy</w:t>
            </w:r>
          </w:p>
        </w:tc>
      </w:tr>
      <w:tr>
        <w:tblPrEx/>
        <w:trPr/>
        <w:tc>
          <w:tcPr>
            <w:tcW w:w="3500" w:type="dxa"/>
            <w:tcBorders/>
            <w:tcMar>
              <w:top w:w="80" w:type="dxa"/>
              <w:left w:w="100" w:type="dxa"/>
              <w:bottom w:w="80" w:type="dxa"/>
              <w:right w:w="100" w:type="dxa"/>
            </w:tcMar>
          </w:tcPr>
          <w:p>
            <w:pPr>
              <w:pStyle w:val="style0"/>
              <w:jc w:val="left"/>
              <w:rPr/>
            </w:pPr>
            <w:r>
              <w:rPr>
                <w:b w:val="false"/>
                <w:bCs w:val="false"/>
                <w:color w:val="000000"/>
                <w:sz w:val="19"/>
                <w:szCs w:val="19"/>
              </w:rPr>
              <w:t>After 5 epochs</w:t>
            </w:r>
          </w:p>
        </w:tc>
        <w:tc>
          <w:tcPr>
            <w:tcW w:w="3290" w:type="dxa"/>
            <w:tcBorders/>
            <w:tcMar>
              <w:top w:w="80" w:type="dxa"/>
              <w:left w:w="100" w:type="dxa"/>
              <w:bottom w:w="80" w:type="dxa"/>
              <w:right w:w="100" w:type="dxa"/>
            </w:tcMar>
          </w:tcPr>
          <w:p>
            <w:pPr>
              <w:pStyle w:val="style0"/>
              <w:jc w:val="center"/>
              <w:rPr/>
            </w:pPr>
            <w:r>
              <w:rPr>
                <w:b/>
                <w:bCs/>
                <w:color w:val="b45309"/>
                <w:highlight w:val="yellow"/>
              </w:rPr>
              <w:t>[PLACEHOLDER: train acc @ epoch 5]</w:t>
            </w:r>
          </w:p>
        </w:tc>
        <w:tc>
          <w:tcPr>
            <w:tcW w:w="3290" w:type="dxa"/>
            <w:tcBorders/>
            <w:tcMar>
              <w:top w:w="80" w:type="dxa"/>
              <w:left w:w="100" w:type="dxa"/>
              <w:bottom w:w="80" w:type="dxa"/>
              <w:right w:w="100" w:type="dxa"/>
            </w:tcMar>
          </w:tcPr>
          <w:p>
            <w:pPr>
              <w:pStyle w:val="style0"/>
              <w:jc w:val="center"/>
              <w:rPr/>
            </w:pPr>
            <w:r>
              <w:rPr>
                <w:b/>
                <w:bCs/>
                <w:color w:val="b45309"/>
                <w:highlight w:val="yellow"/>
              </w:rPr>
              <w:t>[PLACEHOLDER: val acc @ epoch 5]</w:t>
            </w:r>
          </w:p>
        </w:tc>
      </w:tr>
      <w:tr>
        <w:tblPrEx/>
        <w:trPr/>
        <w:tc>
          <w:tcPr>
            <w:tcW w:w="3500" w:type="dxa"/>
            <w:tcBorders/>
            <w:tcMar>
              <w:top w:w="80" w:type="dxa"/>
              <w:left w:w="100" w:type="dxa"/>
              <w:bottom w:w="80" w:type="dxa"/>
              <w:right w:w="100" w:type="dxa"/>
            </w:tcMar>
          </w:tcPr>
          <w:p>
            <w:pPr>
              <w:pStyle w:val="style0"/>
              <w:jc w:val="left"/>
              <w:rPr/>
            </w:pPr>
            <w:r>
              <w:rPr>
                <w:b w:val="false"/>
                <w:bCs w:val="false"/>
                <w:color w:val="000000"/>
                <w:sz w:val="19"/>
                <w:szCs w:val="19"/>
              </w:rPr>
              <w:t>After 10 epochs</w:t>
            </w:r>
          </w:p>
        </w:tc>
        <w:tc>
          <w:tcPr>
            <w:tcW w:w="3290" w:type="dxa"/>
            <w:tcBorders/>
            <w:tcMar>
              <w:top w:w="80" w:type="dxa"/>
              <w:left w:w="100" w:type="dxa"/>
              <w:bottom w:w="80" w:type="dxa"/>
              <w:right w:w="100" w:type="dxa"/>
            </w:tcMar>
          </w:tcPr>
          <w:p>
            <w:pPr>
              <w:pStyle w:val="style0"/>
              <w:jc w:val="center"/>
              <w:rPr/>
            </w:pPr>
            <w:r>
              <w:rPr>
                <w:b/>
                <w:bCs/>
                <w:color w:val="b45309"/>
                <w:highlight w:val="yellow"/>
              </w:rPr>
              <w:t>[PLACEHOLDER: train acc @ epoch 10]</w:t>
            </w:r>
          </w:p>
        </w:tc>
        <w:tc>
          <w:tcPr>
            <w:tcW w:w="3290" w:type="dxa"/>
            <w:tcBorders/>
            <w:tcMar>
              <w:top w:w="80" w:type="dxa"/>
              <w:left w:w="100" w:type="dxa"/>
              <w:bottom w:w="80" w:type="dxa"/>
              <w:right w:w="100" w:type="dxa"/>
            </w:tcMar>
          </w:tcPr>
          <w:p>
            <w:pPr>
              <w:pStyle w:val="style0"/>
              <w:jc w:val="center"/>
              <w:rPr/>
            </w:pPr>
            <w:r>
              <w:rPr>
                <w:b/>
                <w:bCs/>
                <w:color w:val="b45309"/>
                <w:highlight w:val="yellow"/>
              </w:rPr>
              <w:t>[PLACEHOLDER: val acc @ epoch 10]</w:t>
            </w:r>
          </w:p>
        </w:tc>
      </w:tr>
      <w:tr>
        <w:tblPrEx/>
        <w:trPr/>
        <w:tc>
          <w:tcPr>
            <w:tcW w:w="3500" w:type="dxa"/>
            <w:tcBorders/>
            <w:tcMar>
              <w:top w:w="80" w:type="dxa"/>
              <w:left w:w="100" w:type="dxa"/>
              <w:bottom w:w="80" w:type="dxa"/>
              <w:right w:w="100" w:type="dxa"/>
            </w:tcMar>
          </w:tcPr>
          <w:p>
            <w:pPr>
              <w:pStyle w:val="style0"/>
              <w:jc w:val="left"/>
              <w:rPr/>
            </w:pPr>
            <w:r>
              <w:rPr>
                <w:b w:val="false"/>
                <w:bCs w:val="false"/>
                <w:color w:val="000000"/>
                <w:sz w:val="19"/>
                <w:szCs w:val="19"/>
              </w:rPr>
              <w:t>Final (best epoch)</w:t>
            </w:r>
          </w:p>
        </w:tc>
        <w:tc>
          <w:tcPr>
            <w:tcW w:w="3290" w:type="dxa"/>
            <w:tcBorders/>
            <w:tcMar>
              <w:top w:w="80" w:type="dxa"/>
              <w:left w:w="100" w:type="dxa"/>
              <w:bottom w:w="80" w:type="dxa"/>
              <w:right w:w="100" w:type="dxa"/>
            </w:tcMar>
          </w:tcPr>
          <w:p>
            <w:pPr>
              <w:pStyle w:val="style0"/>
              <w:jc w:val="center"/>
              <w:rPr/>
            </w:pPr>
            <w:r>
              <w:rPr>
                <w:b/>
                <w:bCs/>
                <w:color w:val="b45309"/>
                <w:highlight w:val="yellow"/>
              </w:rPr>
              <w:t>[PLACEHOLDER: final train acc]</w:t>
            </w:r>
          </w:p>
        </w:tc>
        <w:tc>
          <w:tcPr>
            <w:tcW w:w="3290" w:type="dxa"/>
            <w:tcBorders/>
            <w:tcMar>
              <w:top w:w="80" w:type="dxa"/>
              <w:left w:w="100" w:type="dxa"/>
              <w:bottom w:w="80" w:type="dxa"/>
              <w:right w:w="100" w:type="dxa"/>
            </w:tcMar>
          </w:tcPr>
          <w:p>
            <w:pPr>
              <w:pStyle w:val="style0"/>
              <w:jc w:val="center"/>
              <w:rPr/>
            </w:pPr>
            <w:r>
              <w:rPr>
                <w:b/>
                <w:bCs/>
                <w:color w:val="b45309"/>
                <w:highlight w:val="yellow"/>
              </w:rPr>
              <w:t>[PLACEHOLDER: final val acc]</w:t>
            </w:r>
          </w:p>
        </w:tc>
      </w:tr>
    </w:tbl>
    <w:p>
      <w:pPr>
        <w:pStyle w:val="style0"/>
        <w:spacing w:after="200"/>
        <w:rPr/>
      </w:pPr>
    </w:p>
    <w:p>
      <w:pPr>
        <w:pStyle w:val="style0"/>
        <w:spacing w:after="250"/>
        <w:jc w:val="center"/>
        <w:rPr/>
      </w:pPr>
      <w:r>
        <w:rPr>
          <w:i/>
          <w:iCs/>
          <w:color w:val="555555"/>
          <w:sz w:val="18"/>
          <w:szCs w:val="18"/>
        </w:rPr>
        <w:t>Table 1: Training and validation accuracy at epoch 5, epoch 10, and the final best-performing epoch.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rPr/>
        <w:tc>
          <w:tcPr>
            <w:tcW w:w="5040" w:type="dxa"/>
            <w:tcBorders/>
            <w:shd w:val="clear" w:color="auto" w:fill="2f5496"/>
            <w:tcMar>
              <w:top w:w="80" w:type="dxa"/>
              <w:left w:w="100" w:type="dxa"/>
              <w:bottom w:w="80" w:type="dxa"/>
              <w:right w:w="100" w:type="dxa"/>
            </w:tcMar>
          </w:tcPr>
          <w:p>
            <w:pPr>
              <w:pStyle w:val="style0"/>
              <w:jc w:val="left"/>
              <w:rPr/>
            </w:pPr>
            <w:r>
              <w:rPr>
                <w:b/>
                <w:bCs/>
                <w:color w:val="ffffff"/>
                <w:sz w:val="19"/>
                <w:szCs w:val="19"/>
              </w:rPr>
              <w:t>Metric</w:t>
            </w:r>
          </w:p>
        </w:tc>
        <w:tc>
          <w:tcPr>
            <w:tcW w:w="5040" w:type="dxa"/>
            <w:tcBorders/>
            <w:shd w:val="clear" w:color="auto" w:fill="2f5496"/>
            <w:tcMar>
              <w:top w:w="80" w:type="dxa"/>
              <w:left w:w="100" w:type="dxa"/>
              <w:bottom w:w="80" w:type="dxa"/>
              <w:right w:w="100" w:type="dxa"/>
            </w:tcMar>
          </w:tcPr>
          <w:p>
            <w:pPr>
              <w:pStyle w:val="style0"/>
              <w:jc w:val="center"/>
              <w:rPr/>
            </w:pPr>
            <w:r>
              <w:rPr>
                <w:b/>
                <w:bCs/>
                <w:color w:val="ffffff"/>
                <w:sz w:val="19"/>
                <w:szCs w:val="19"/>
              </w:rPr>
              <w:t>Value</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Accuracy</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accuracy]</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Precision</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precision]</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Recall / Sensitivity (Malignant)</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recall]</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Specificity (Benign)</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specificity]</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F1-Score</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F1-score]</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ROC-AUC</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ROC-AUC]</w:t>
            </w:r>
          </w:p>
        </w:tc>
      </w:tr>
    </w:tbl>
    <w:p>
      <w:pPr>
        <w:pStyle w:val="style0"/>
        <w:spacing w:after="200"/>
        <w:rPr/>
      </w:pPr>
    </w:p>
    <w:p>
      <w:pPr>
        <w:pStyle w:val="style0"/>
        <w:spacing w:after="250"/>
        <w:jc w:val="center"/>
        <w:rPr/>
      </w:pPr>
      <w:r>
        <w:rPr>
          <w:i/>
          <w:iCs/>
          <w:color w:val="555555"/>
          <w:sz w:val="18"/>
          <w:szCs w:val="18"/>
        </w:rPr>
        <w:t>Table 2: Final held-out test set performance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rPr/>
        <w:tc>
          <w:tcPr>
            <w:tcW w:w="3360" w:type="dxa"/>
            <w:tcBorders/>
            <w:shd w:val="clear" w:color="auto" w:fill="2f5496"/>
            <w:tcMar>
              <w:top w:w="80" w:type="dxa"/>
              <w:left w:w="100" w:type="dxa"/>
              <w:bottom w:w="80" w:type="dxa"/>
              <w:right w:w="100" w:type="dxa"/>
            </w:tcMar>
          </w:tcPr>
          <w:p>
            <w:pPr>
              <w:pStyle w:val="style0"/>
              <w:jc w:val="left"/>
              <w:rPr/>
            </w:pPr>
          </w:p>
        </w:tc>
        <w:tc>
          <w:tcPr>
            <w:tcW w:w="3360" w:type="dxa"/>
            <w:tcBorders/>
            <w:shd w:val="clear" w:color="auto" w:fill="2f5496"/>
            <w:tcMar>
              <w:top w:w="80" w:type="dxa"/>
              <w:left w:w="100" w:type="dxa"/>
              <w:bottom w:w="80" w:type="dxa"/>
              <w:right w:w="100" w:type="dxa"/>
            </w:tcMar>
          </w:tcPr>
          <w:p>
            <w:pPr>
              <w:pStyle w:val="style0"/>
              <w:jc w:val="center"/>
              <w:rPr/>
            </w:pPr>
            <w:r>
              <w:rPr>
                <w:b/>
                <w:bCs/>
                <w:color w:val="ffffff"/>
                <w:sz w:val="19"/>
                <w:szCs w:val="19"/>
              </w:rPr>
              <w:t>Predicted: Benign</w:t>
            </w:r>
          </w:p>
        </w:tc>
        <w:tc>
          <w:tcPr>
            <w:tcW w:w="3360" w:type="dxa"/>
            <w:tcBorders/>
            <w:shd w:val="clear" w:color="auto" w:fill="2f5496"/>
            <w:tcMar>
              <w:top w:w="80" w:type="dxa"/>
              <w:left w:w="100" w:type="dxa"/>
              <w:bottom w:w="80" w:type="dxa"/>
              <w:right w:w="100" w:type="dxa"/>
            </w:tcMar>
          </w:tcPr>
          <w:p>
            <w:pPr>
              <w:pStyle w:val="style0"/>
              <w:jc w:val="center"/>
              <w:rPr/>
            </w:pPr>
            <w:r>
              <w:rPr>
                <w:b/>
                <w:bCs/>
                <w:color w:val="ffffff"/>
                <w:sz w:val="19"/>
                <w:szCs w:val="19"/>
              </w:rPr>
              <w:t>Predicted: Malignant</w:t>
            </w:r>
          </w:p>
        </w:tc>
      </w:tr>
      <w:tr>
        <w:tblPrEx/>
        <w:trPr/>
        <w:tc>
          <w:tcPr>
            <w:tcW w:w="3360" w:type="dxa"/>
            <w:tcBorders/>
            <w:tcMar>
              <w:top w:w="80" w:type="dxa"/>
              <w:left w:w="100" w:type="dxa"/>
              <w:bottom w:w="80" w:type="dxa"/>
              <w:right w:w="100" w:type="dxa"/>
            </w:tcMar>
          </w:tcPr>
          <w:p>
            <w:pPr>
              <w:pStyle w:val="style0"/>
              <w:jc w:val="left"/>
              <w:rPr/>
            </w:pPr>
            <w:r>
              <w:rPr>
                <w:b w:val="false"/>
                <w:bCs w:val="false"/>
                <w:color w:val="000000"/>
                <w:sz w:val="19"/>
                <w:szCs w:val="19"/>
              </w:rPr>
              <w:t>Actual: Benign</w:t>
            </w:r>
          </w:p>
        </w:tc>
        <w:tc>
          <w:tcPr>
            <w:tcW w:w="3360" w:type="dxa"/>
            <w:tcBorders/>
            <w:tcMar>
              <w:top w:w="80" w:type="dxa"/>
              <w:left w:w="100" w:type="dxa"/>
              <w:bottom w:w="80" w:type="dxa"/>
              <w:right w:w="100" w:type="dxa"/>
            </w:tcMar>
          </w:tcPr>
          <w:p>
            <w:pPr>
              <w:pStyle w:val="style0"/>
              <w:jc w:val="center"/>
              <w:rPr/>
            </w:pPr>
            <w:r>
              <w:rPr>
                <w:b/>
                <w:bCs/>
                <w:color w:val="b45309"/>
                <w:highlight w:val="yellow"/>
              </w:rPr>
              <w:t>[PLACEHOLDER: TN count]</w:t>
            </w:r>
          </w:p>
        </w:tc>
        <w:tc>
          <w:tcPr>
            <w:tcW w:w="3360" w:type="dxa"/>
            <w:tcBorders/>
            <w:tcMar>
              <w:top w:w="80" w:type="dxa"/>
              <w:left w:w="100" w:type="dxa"/>
              <w:bottom w:w="80" w:type="dxa"/>
              <w:right w:w="100" w:type="dxa"/>
            </w:tcMar>
          </w:tcPr>
          <w:p>
            <w:pPr>
              <w:pStyle w:val="style0"/>
              <w:jc w:val="center"/>
              <w:rPr/>
            </w:pPr>
            <w:r>
              <w:rPr>
                <w:b/>
                <w:bCs/>
                <w:color w:val="b45309"/>
                <w:highlight w:val="yellow"/>
              </w:rPr>
              <w:t>[PLACEHOLDER: FP count]</w:t>
            </w:r>
          </w:p>
        </w:tc>
      </w:tr>
      <w:tr>
        <w:tblPrEx/>
        <w:trPr/>
        <w:tc>
          <w:tcPr>
            <w:tcW w:w="3360" w:type="dxa"/>
            <w:tcBorders/>
            <w:tcMar>
              <w:top w:w="80" w:type="dxa"/>
              <w:left w:w="100" w:type="dxa"/>
              <w:bottom w:w="80" w:type="dxa"/>
              <w:right w:w="100" w:type="dxa"/>
            </w:tcMar>
          </w:tcPr>
          <w:p>
            <w:pPr>
              <w:pStyle w:val="style0"/>
              <w:jc w:val="left"/>
              <w:rPr/>
            </w:pPr>
            <w:r>
              <w:rPr>
                <w:b w:val="false"/>
                <w:bCs w:val="false"/>
                <w:color w:val="000000"/>
                <w:sz w:val="19"/>
                <w:szCs w:val="19"/>
              </w:rPr>
              <w:t>Actual: Malignant</w:t>
            </w:r>
          </w:p>
        </w:tc>
        <w:tc>
          <w:tcPr>
            <w:tcW w:w="3360" w:type="dxa"/>
            <w:tcBorders/>
            <w:tcMar>
              <w:top w:w="80" w:type="dxa"/>
              <w:left w:w="100" w:type="dxa"/>
              <w:bottom w:w="80" w:type="dxa"/>
              <w:right w:w="100" w:type="dxa"/>
            </w:tcMar>
          </w:tcPr>
          <w:p>
            <w:pPr>
              <w:pStyle w:val="style0"/>
              <w:jc w:val="center"/>
              <w:rPr/>
            </w:pPr>
            <w:r>
              <w:rPr>
                <w:b/>
                <w:bCs/>
                <w:color w:val="b45309"/>
                <w:highlight w:val="yellow"/>
              </w:rPr>
              <w:t>[PLACEHOLDER: FN count]</w:t>
            </w:r>
          </w:p>
        </w:tc>
        <w:tc>
          <w:tcPr>
            <w:tcW w:w="3360" w:type="dxa"/>
            <w:tcBorders/>
            <w:tcMar>
              <w:top w:w="80" w:type="dxa"/>
              <w:left w:w="100" w:type="dxa"/>
              <w:bottom w:w="80" w:type="dxa"/>
              <w:right w:w="100" w:type="dxa"/>
            </w:tcMar>
          </w:tcPr>
          <w:p>
            <w:pPr>
              <w:pStyle w:val="style0"/>
              <w:jc w:val="center"/>
              <w:rPr/>
            </w:pPr>
            <w:r>
              <w:rPr>
                <w:b/>
                <w:bCs/>
                <w:color w:val="b45309"/>
                <w:highlight w:val="yellow"/>
              </w:rPr>
              <w:t>[PLACEHOLDER: TP count]</w:t>
            </w:r>
          </w:p>
        </w:tc>
      </w:tr>
    </w:tbl>
    <w:p>
      <w:pPr>
        <w:pStyle w:val="style0"/>
        <w:spacing w:after="200"/>
        <w:rPr/>
      </w:pPr>
    </w:p>
    <w:p>
      <w:pPr>
        <w:pStyle w:val="style0"/>
        <w:spacing w:after="250"/>
        <w:jc w:val="center"/>
        <w:rPr/>
      </w:pPr>
      <w:r>
        <w:rPr>
          <w:i/>
          <w:iCs/>
          <w:color w:val="555555"/>
          <w:sz w:val="18"/>
          <w:szCs w:val="18"/>
        </w:rPr>
        <w:t>Table 3: Confusion matrix on the held-out test set. Insert your actual TN/FP/FN/TP counts from the notebook's confusion_matrix output.</w:t>
      </w:r>
    </w:p>
    <w:p>
      <w:pPr>
        <w:pStyle w:val="style0"/>
        <w:spacing w:after="150"/>
        <w:rPr/>
      </w:pPr>
      <w:r>
        <w:t xml:space="preserve">Note: </w:t>
      </w:r>
      <w:r>
        <w:rPr>
          <w:b/>
          <w:bCs/>
          <w:color w:val="b45309"/>
          <w:highlight w:val="yellow"/>
        </w:rPr>
        <w:t>[PLACEHOLDER: insert your training_curves.png and confusion_matrix.png images from the notebook here, or paste them as figures below this paragraph]</w:t>
      </w:r>
    </w:p>
    <w:p>
      <w:pPr>
        <w:pStyle w:val="style4097"/>
        <w:spacing w:before="300" w:after="150"/>
        <w:rPr/>
      </w:pPr>
      <w:r>
        <w:t>8. Discussion</w:t>
      </w:r>
    </w:p>
    <w:p>
      <w:pPr>
        <w:pStyle w:val="style0"/>
        <w:spacing w:after="150"/>
        <w:rPr/>
      </w:pPr>
      <w:r>
        <w:t xml:space="preserve">Interpreting the results in Section 7: </w:t>
      </w:r>
      <w:r>
        <w:rPr>
          <w:b/>
          <w:bCs/>
          <w:color w:val="b45309"/>
          <w:highlight w:val="yellow"/>
        </w:rPr>
        <w:t>[PLACEHOLDER: Write 2-4 sentences interpreting your actual accuracy/precision/recall/F1/AUC numbers — e.g., which metric was strongest/weakest and why that matters clinically]</w:t>
      </w:r>
    </w:p>
    <w:p>
      <w:pPr>
        <w:pStyle w:val="style0"/>
        <w:spacing w:after="150"/>
        <w:rPr/>
      </w:pPr>
      <w:r>
        <w:t xml:space="preserve">The single most clinically important number in the confusion matrix is the </w:t>
      </w:r>
      <w:r>
        <w:rPr>
          <w:b/>
          <w:bCs/>
        </w:rPr>
        <w:t>False Negative</w:t>
      </w:r>
      <w:r>
        <w:t xml:space="preserve"> count — malignant patches the model misclassified as benign — since these represent missed cancer diagnoses. In this run, the model produced </w:t>
      </w:r>
      <w:r>
        <w:rPr>
          <w:b/>
          <w:bCs/>
          <w:color w:val="b45309"/>
          <w:highlight w:val="yellow"/>
        </w:rPr>
        <w:t>[PLACEHOLDER: FN count]</w:t>
      </w:r>
      <w:r>
        <w:t xml:space="preserve"> false negatives out of </w:t>
      </w:r>
      <w:r>
        <w:rPr>
          <w:b/>
          <w:bCs/>
          <w:color w:val="b45309"/>
          <w:highlight w:val="yellow"/>
        </w:rPr>
        <w:t>[PLACEHOLDER: total malignant patches in the test set]</w:t>
      </w:r>
      <w:r>
        <w:t xml:space="preserve"> total malignant test patches, a sensitivity of </w:t>
      </w:r>
      <w:r>
        <w:rPr>
          <w:b/>
          <w:bCs/>
          <w:color w:val="b45309"/>
          <w:highlight w:val="yellow"/>
        </w:rPr>
        <w:t>[PLACEHOLDER: sensitivity value]</w:t>
      </w:r>
      <w:r>
        <w:t xml:space="preserve">. </w:t>
      </w:r>
      <w:r>
        <w:rPr>
          <w:b/>
          <w:bCs/>
          <w:color w:val="b45309"/>
          <w:highlight w:val="yellow"/>
        </w:rPr>
        <w:t>[PLACEHOLDER: Add your own assessment of whether this sensitivity is acceptable for a diagnostic-support context, and what could be done to improve it (e.g., adjusting the classification threshold, more aggressive class weighting, more training data)]</w:t>
      </w:r>
    </w:p>
    <w:p>
      <w:pPr>
        <w:pStyle w:val="style179"/>
        <w:numPr>
          <w:ilvl w:val="0"/>
          <w:numId w:val="1"/>
        </w:numPr>
        <w:spacing w:after="80"/>
        <w:rPr/>
      </w:pPr>
      <w:r>
        <w:rPr>
          <w:b w:val="false"/>
          <w:bCs w:val="false"/>
        </w:rPr>
        <w:t>Strength: the use of separable convolutions kept the model lightweight enough to train efficiently on 277K images while still reaching strong performance, per Section 7's results.</w:t>
      </w:r>
    </w:p>
    <w:p>
      <w:pPr>
        <w:pStyle w:val="style179"/>
        <w:numPr>
          <w:ilvl w:val="0"/>
          <w:numId w:val="1"/>
        </w:numPr>
        <w:spacing w:after="80"/>
        <w:rPr/>
      </w:pPr>
      <w:r>
        <w:rPr>
          <w:b w:val="false"/>
          <w:bCs w:val="false"/>
        </w:rPr>
        <w:t>Strength: class weighting and a stratified split meant evaluation metrics reflect genuine performance on the minority malignant class rather than being inflated by the majority benign class.</w:t>
      </w:r>
    </w:p>
    <w:p>
      <w:pPr>
        <w:pStyle w:val="style179"/>
        <w:numPr>
          <w:ilvl w:val="0"/>
          <w:numId w:val="1"/>
        </w:numPr>
        <w:spacing w:after="80"/>
        <w:rPr/>
      </w:pPr>
      <w:r>
        <w:t xml:space="preserve">Limitation: </w:t>
      </w:r>
      <w:r>
        <w:rPr>
          <w:b/>
          <w:bCs/>
          <w:color w:val="b45309"/>
          <w:highlight w:val="yellow"/>
        </w:rPr>
        <w:t>[PLACEHOLDER: note any specific weaknesses you observed — e.g., particular false-positive patterns, confusion on ambiguous/borderline patches, sensitivity to staining variation]</w:t>
      </w:r>
    </w:p>
    <w:p>
      <w:pPr>
        <w:pStyle w:val="style179"/>
        <w:numPr>
          <w:ilvl w:val="0"/>
          <w:numId w:val="1"/>
        </w:numPr>
        <w:spacing w:after="80"/>
        <w:rPr/>
      </w:pPr>
      <w:r>
        <w:rPr>
          <w:b w:val="false"/>
          <w:bCs w:val="false"/>
        </w:rPr>
        <w:t>Limitation: the model was evaluated only on held-out patches from the same 162-patient dataset; performance on data from different hospitals, scanners, or staining protocols (domain shift) was not tested and would likely require additional validation or fine-tuning before broader deployment.</w:t>
      </w:r>
    </w:p>
    <w:p>
      <w:pPr>
        <w:pStyle w:val="style0"/>
        <w:spacing w:after="150"/>
        <w:rPr/>
      </w:pPr>
      <w:r>
        <w:rPr>
          <w:b/>
          <w:bCs/>
          <w:color w:val="b45309"/>
          <w:highlight w:val="yellow"/>
        </w:rPr>
        <w:t>[PLACEHOLDER: State your conclusion here based on your actual train vs. validation accuracy/loss curves]</w:t>
      </w:r>
      <w:r>
        <w:t xml:space="preserve">. Justification framework: if train accuracy continues climbing while validation accuracy plateaus or declines (a growing gap between the two curves), the model is </w:t>
      </w:r>
      <w:r>
        <w:rPr>
          <w:i/>
          <w:iCs/>
        </w:rPr>
        <w:t>overfitting</w:t>
      </w:r>
      <w:r>
        <w:t xml:space="preserve"> — the dropout and augmentation already built into CancerNet are the first levers to strengthen further. If both train and validation accuracy remain low and close together, the model is </w:t>
      </w:r>
      <w:r>
        <w:rPr>
          <w:i/>
          <w:iCs/>
        </w:rPr>
        <w:t>underfitting</w:t>
      </w:r>
      <w:r>
        <w:t xml:space="preserve"> — consider training longer, increasing model capacity, or reducing regularization. If train and validation accuracy converge closely at a high value and EarlyStopping triggered because validation loss stopped improving (rather than because it worsened), the model is close to </w:t>
      </w:r>
      <w:r>
        <w:rPr>
          <w:i/>
          <w:iCs/>
        </w:rPr>
        <w:t>optimal</w:t>
      </w:r>
      <w:r>
        <w:t xml:space="preserve"> for its capacity on this dataset.</w:t>
      </w:r>
    </w:p>
    <w:p>
      <w:pPr>
        <w:pStyle w:val="style4097"/>
        <w:spacing w:before="300" w:after="150"/>
        <w:rPr/>
      </w:pPr>
      <w:r>
        <w:t>9. Conclusion</w:t>
      </w:r>
    </w:p>
    <w:p>
      <w:pPr>
        <w:pStyle w:val="style0"/>
        <w:spacing w:after="150"/>
        <w:rPr/>
      </w:pPr>
      <w:r>
        <w:t xml:space="preserve">This project built and evaluated CancerNet, a separable-convolution CNN for classifying breast histology patches as benign or malignant, achieving a test accuracy of </w:t>
      </w:r>
      <w:r>
        <w:rPr>
          <w:b/>
          <w:bCs/>
          <w:color w:val="b45309"/>
          <w:highlight w:val="yellow"/>
        </w:rPr>
        <w:t>[PLACEHOLDER: final test accuracy]</w:t>
      </w:r>
      <w:r>
        <w:t xml:space="preserve"> and an F1-score of </w:t>
      </w:r>
      <w:r>
        <w:rPr>
          <w:b/>
          <w:bCs/>
          <w:color w:val="b45309"/>
          <w:highlight w:val="yellow"/>
        </w:rPr>
        <w:t>[PLACEHOLDER: final F1-score]</w:t>
      </w:r>
      <w:r>
        <w:t xml:space="preserve"> on the real IDC_regular dataset. The results demonstrate that a compact, efficiently trained CNN can achieve strong discriminative performance on this diagnostic task, supporting the broader goal of using AI to assist early breast cancer detection.</w:t>
      </w:r>
    </w:p>
    <w:p>
      <w:pPr>
        <w:pStyle w:val="style0"/>
        <w:spacing w:after="150"/>
        <w:rPr/>
      </w:pPr>
      <w:r>
        <w:t>This work has direct real-world significance: a model like CancerNet, once properly validated, could serve as a second-reader tool that pre-screens histology slides and flags high-probability malignant regions for a pathologist's priority review — potentially reducing time-to-diagnosis without replacing human clinical judgment. Future work could extend this project by incorporating transfer learning from ImageNet-pretrained backbones (e.g., ResNet50, EfficientNet, DenseNet121), adding explainability via Grad-CAM to visualize which regions of a patch drove each prediction, aggregating patch-level predictions into whole-slide IDC-region heatmaps, and validating the model on histology data from additional hospitals to test robustness to domain shift.</w:t>
      </w:r>
    </w:p>
    <w:p>
      <w:pPr>
        <w:pStyle w:val="style4097"/>
        <w:spacing w:before="300" w:after="150"/>
        <w:rPr/>
      </w:pPr>
      <w:r>
        <w:t>10. Lessons Learned and Real-Life Application</w:t>
      </w:r>
    </w:p>
    <w:p>
      <w:pPr>
        <w:pStyle w:val="style0"/>
        <w:spacing w:after="150"/>
        <w:rPr/>
      </w:pPr>
      <w:r>
        <w:t>This project reinforced several practical lessons about applying deep learning to a real diagnostic problem, beyond simply maximizing accuracy:</w:t>
      </w:r>
    </w:p>
    <w:p>
      <w:pPr>
        <w:pStyle w:val="style179"/>
        <w:numPr>
          <w:ilvl w:val="0"/>
          <w:numId w:val="1"/>
        </w:numPr>
        <w:spacing w:after="80"/>
        <w:rPr/>
      </w:pPr>
      <w:r>
        <w:rPr>
          <w:b w:val="false"/>
          <w:bCs w:val="false"/>
        </w:rPr>
        <w:t>In imbalanced medical datasets, accuracy alone is an insufficient metric — a model that always predicted “benign” on this dataset would already score roughly 72% accuracy while being clinically useless. Precision, recall (especially on the minority malignant class), F1-score, and the confusion matrix all had to be examined together.</w:t>
      </w:r>
    </w:p>
    <w:p>
      <w:pPr>
        <w:pStyle w:val="style179"/>
        <w:numPr>
          <w:ilvl w:val="0"/>
          <w:numId w:val="1"/>
        </w:numPr>
        <w:spacing w:after="80"/>
        <w:rPr/>
      </w:pPr>
      <w:r>
        <w:rPr>
          <w:b w:val="false"/>
          <w:bCs w:val="false"/>
        </w:rPr>
        <w:t>False negatives and false positives are not symmetric in cost in a medical context. A missed cancer diagnosis (false negative) is far more dangerous than an unnecessary follow-up review (false positive), which is why sensitivity on the malignant class was tracked as a first-class metric rather than a secondary one.</w:t>
      </w:r>
    </w:p>
    <w:p>
      <w:pPr>
        <w:pStyle w:val="style179"/>
        <w:numPr>
          <w:ilvl w:val="0"/>
          <w:numId w:val="1"/>
        </w:numPr>
        <w:spacing w:after="80"/>
        <w:rPr/>
      </w:pPr>
      <w:r>
        <w:rPr>
          <w:b w:val="false"/>
          <w:bCs w:val="false"/>
        </w:rPr>
        <w:t>Separable convolutions offered a practical way to keep a reasonably deep architecture trainable at scale (277K images) without requiring excessive compute, illustrating a broader lesson about matching model architecture choices to dataset size and available resources.</w:t>
      </w:r>
    </w:p>
    <w:p>
      <w:pPr>
        <w:pStyle w:val="style179"/>
        <w:numPr>
          <w:ilvl w:val="0"/>
          <w:numId w:val="1"/>
        </w:numPr>
        <w:spacing w:after="80"/>
        <w:rPr/>
      </w:pPr>
      <w:r>
        <w:rPr>
          <w:b w:val="false"/>
          <w:bCs w:val="false"/>
        </w:rPr>
        <w:t>Getting a real, large (3GB) dataset into a cloud training environment (Colab) was itself a non-trivial engineering step — the Kaggle API download, correct path handling, and folder-structure verification were as important to get right as the model architecture itself.</w:t>
      </w:r>
    </w:p>
    <w:p>
      <w:pPr>
        <w:pStyle w:val="style179"/>
        <w:numPr>
          <w:ilvl w:val="0"/>
          <w:numId w:val="1"/>
        </w:numPr>
        <w:spacing w:after="80"/>
        <w:rPr/>
      </w:pPr>
      <w:r>
        <w:t xml:space="preserve">Personal/technical lesson: </w:t>
      </w:r>
      <w:r>
        <w:rPr>
          <w:b/>
          <w:bCs/>
          <w:color w:val="b45309"/>
          <w:highlight w:val="yellow"/>
        </w:rPr>
        <w:t>[PLACEHOLDER: add a lesson specific to your own experience running this project, e.g. something you debugged or a design choice you changed]</w:t>
      </w:r>
    </w:p>
    <w:p>
      <w:pPr>
        <w:pStyle w:val="style0"/>
        <w:spacing w:after="150"/>
        <w:rPr/>
      </w:pPr>
      <w:r>
        <w:rPr>
          <w:b/>
          <w:bCs/>
        </w:rPr>
        <w:t>Two real-life case studies where this project's approach directly applies:</w:t>
      </w:r>
    </w:p>
    <w:p>
      <w:pPr>
        <w:pStyle w:val="style0"/>
        <w:spacing w:before="150" w:after="100"/>
        <w:rPr/>
      </w:pPr>
      <w:r>
        <w:rPr>
          <w:b/>
          <w:bCs/>
        </w:rPr>
        <w:t>Case Study 1: Pathologist Second-Reader / Triage Tool</w:t>
      </w:r>
    </w:p>
    <w:p>
      <w:pPr>
        <w:pStyle w:val="style0"/>
        <w:spacing w:after="150"/>
        <w:rPr/>
      </w:pPr>
      <w:r>
        <w:t>A hospital pathology department could deploy a validated version of CancerNet as a pre-screening tool: as whole-slide images are digitized, the model scans them patch-by-patch and produces an IDC-probability heatmap, allowing pathologists to prioritize their review time on the highest-probability regions first rather than scanning an entire slide manually. In departments facing case backlogs, this could meaningfully reduce time-to-diagnosis without removing the pathologist from the final decision.</w:t>
      </w:r>
    </w:p>
    <w:p>
      <w:pPr>
        <w:pStyle w:val="style0"/>
        <w:spacing w:before="150" w:after="100"/>
        <w:rPr/>
      </w:pPr>
      <w:r>
        <w:rPr>
          <w:b/>
          <w:bCs/>
        </w:rPr>
        <w:t>Case Study 2: Screening Triage in Low-Resource Settings</w:t>
      </w:r>
    </w:p>
    <w:p>
      <w:pPr>
        <w:pStyle w:val="style0"/>
        <w:spacing w:after="150"/>
        <w:rPr/>
      </w:pPr>
      <w:r>
        <w:t>In regions with a shortage of trained pathologists relative to biopsy volume, a lightweight, quantized version of this model could run on modest hardware to provide a preliminary IDC screen, helping clinics prioritize which biopsy samples need urgent shipment to a specialist for expert review — directly extending access to early cancer detection in settings where it is currently constrained by specialist availability rather than by imaging technology.</w:t>
      </w:r>
    </w:p>
    <w:p>
      <w:pPr>
        <w:pStyle w:val="style0"/>
        <w:rPr/>
      </w:pPr>
      <w:r>
        <w:br w:type="page"/>
      </w:r>
    </w:p>
    <w:p>
      <w:pPr>
        <w:pStyle w:val="style4097"/>
        <w:spacing w:before="300" w:after="150"/>
        <w:rPr/>
      </w:pPr>
      <w:r>
        <w:t>11. References</w:t>
      </w:r>
    </w:p>
    <w:p>
      <w:pPr>
        <w:pStyle w:val="style179"/>
        <w:numPr>
          <w:ilvl w:val="0"/>
          <w:numId w:val="1"/>
        </w:numPr>
        <w:spacing w:after="80"/>
        <w:rPr/>
      </w:pPr>
      <w:r>
        <w:rPr>
          <w:b w:val="false"/>
          <w:bCs w:val="false"/>
        </w:rPr>
        <w:t>Janowczyk, A., &amp; Madabhushi, A. (2016). Deep learning for digital pathology image analysis: A comprehensive tutorial with selected use cases. Journal of Pathology Informatics, 7(1), 29.</w:t>
      </w:r>
    </w:p>
    <w:p>
      <w:pPr>
        <w:pStyle w:val="style179"/>
        <w:numPr>
          <w:ilvl w:val="0"/>
          <w:numId w:val="1"/>
        </w:numPr>
        <w:spacing w:after="80"/>
        <w:rPr/>
      </w:pPr>
      <w:r>
        <w:rPr>
          <w:b w:val="false"/>
          <w:bCs w:val="false"/>
        </w:rPr>
        <w:t>Cruz-Roa, A., et al. (2014). Automatic detection of invasive ductal carcinoma in whole slide images with convolutional neural networks. SPIE Medical Imaging.</w:t>
      </w:r>
    </w:p>
    <w:p>
      <w:pPr>
        <w:pStyle w:val="style179"/>
        <w:numPr>
          <w:ilvl w:val="0"/>
          <w:numId w:val="1"/>
        </w:numPr>
        <w:spacing w:after="80"/>
        <w:rPr/>
      </w:pPr>
      <w:r>
        <w:rPr>
          <w:b w:val="false"/>
          <w:bCs w:val="false"/>
        </w:rPr>
        <w:t>Chollet, F. (2017). Xception: Deep Learning with Depthwise Separable Convolutions. Proceedings of the IEEE Conference on Computer Vision and Pattern Recognition (CVPR).</w:t>
      </w:r>
    </w:p>
    <w:p>
      <w:pPr>
        <w:pStyle w:val="style179"/>
        <w:numPr>
          <w:ilvl w:val="0"/>
          <w:numId w:val="1"/>
        </w:numPr>
        <w:spacing w:after="80"/>
        <w:rPr/>
      </w:pPr>
      <w:r>
        <w:rPr>
          <w:b w:val="false"/>
          <w:bCs w:val="false"/>
        </w:rPr>
        <w:t>Ioffe, S., &amp; Szegedy, C. (2015). Batch Normalization: Accelerating Deep Network Training by Reducing Internal Covariate Shift. Proceedings of the 32nd International Conference on Machine Learning (ICML).</w:t>
      </w:r>
    </w:p>
    <w:p>
      <w:pPr>
        <w:pStyle w:val="style179"/>
        <w:numPr>
          <w:ilvl w:val="0"/>
          <w:numId w:val="1"/>
        </w:numPr>
        <w:spacing w:after="80"/>
        <w:rPr/>
      </w:pPr>
      <w:r>
        <w:rPr>
          <w:b w:val="false"/>
          <w:bCs w:val="false"/>
        </w:rPr>
        <w:t>Srivastava, N., et al. (2014). Dropout: A Simple Way to Prevent Neural Networks from Overfitting. Journal of Machine Learning Research, 15(1), 1929–1958.</w:t>
      </w:r>
    </w:p>
    <w:p>
      <w:pPr>
        <w:pStyle w:val="style179"/>
        <w:numPr>
          <w:ilvl w:val="0"/>
          <w:numId w:val="1"/>
        </w:numPr>
        <w:spacing w:after="80"/>
        <w:rPr/>
      </w:pPr>
      <w:r>
        <w:rPr>
          <w:b w:val="false"/>
          <w:bCs w:val="false"/>
        </w:rPr>
        <w:t>Mooney, P. T. Breast Histopathology Images [Dataset]. Kaggle. https://www.kaggle.com/datasets/paultimothymooney/breast-histopathology-images</w:t>
      </w:r>
    </w:p>
    <w:p>
      <w:pPr>
        <w:pStyle w:val="style179"/>
        <w:numPr>
          <w:ilvl w:val="0"/>
          <w:numId w:val="1"/>
        </w:numPr>
        <w:spacing w:after="80"/>
        <w:rPr/>
      </w:pPr>
      <w:r>
        <w:rPr>
          <w:b w:val="false"/>
          <w:bCs w:val="false"/>
        </w:rPr>
        <w:t>Chollet, F., et al. Keras. https://keras.io</w:t>
      </w:r>
    </w:p>
    <w:p>
      <w:pPr>
        <w:pStyle w:val="style4097"/>
        <w:spacing w:before="300" w:after="150"/>
        <w:rPr/>
      </w:pPr>
      <w:r>
        <w:t>12. Appendices</w:t>
      </w:r>
    </w:p>
    <w:p>
      <w:pPr>
        <w:pStyle w:val="style179"/>
        <w:numPr>
          <w:ilvl w:val="0"/>
          <w:numId w:val="1"/>
        </w:numPr>
        <w:spacing w:after="80"/>
        <w:rPr/>
      </w:pPr>
      <w:r>
        <w:rPr>
          <w:b w:val="false"/>
          <w:bCs w:val="false"/>
        </w:rPr>
        <w:t>1. Open the CancerNet notebook in Google Colab and switch the runtime to GPU (Runtime &gt; Change runtime type &gt; GPU).</w:t>
      </w:r>
    </w:p>
    <w:p>
      <w:pPr>
        <w:pStyle w:val="style179"/>
        <w:numPr>
          <w:ilvl w:val="0"/>
          <w:numId w:val="1"/>
        </w:numPr>
        <w:spacing w:after="80"/>
        <w:rPr/>
      </w:pPr>
      <w:r>
        <w:rPr>
          <w:b w:val="false"/>
          <w:bCs w:val="false"/>
        </w:rPr>
        <w:t>2. Run the Setup cell to install and import all dependencies (TensorFlow, scikit-learn, matplotlib, seaborn, OpenCV).</w:t>
      </w:r>
    </w:p>
    <w:p>
      <w:pPr>
        <w:pStyle w:val="style179"/>
        <w:numPr>
          <w:ilvl w:val="0"/>
          <w:numId w:val="1"/>
        </w:numPr>
        <w:spacing w:after="80"/>
        <w:rPr/>
      </w:pPr>
      <w:r>
        <w:rPr>
          <w:b w:val="false"/>
          <w:bCs w:val="false"/>
        </w:rPr>
        <w:t>3. Run the Kaggle API download section: upload your kaggle.json API token, then let the notebook download and extract the IDC_regular dataset (~3.02 GB) directly into the Colab environment.</w:t>
      </w:r>
    </w:p>
    <w:p>
      <w:pPr>
        <w:pStyle w:val="style179"/>
        <w:numPr>
          <w:ilvl w:val="0"/>
          <w:numId w:val="1"/>
        </w:numPr>
        <w:spacing w:after="80"/>
        <w:rPr/>
      </w:pPr>
      <w:r>
        <w:rPr>
          <w:b w:val="false"/>
          <w:bCs w:val="false"/>
        </w:rPr>
        <w:t>4. Run the Data Preparation cells to build the file manifest, verify class balance, and create the stratified 70/10/20 train/validation/test split.</w:t>
      </w:r>
    </w:p>
    <w:p>
      <w:pPr>
        <w:pStyle w:val="style179"/>
        <w:numPr>
          <w:ilvl w:val="0"/>
          <w:numId w:val="1"/>
        </w:numPr>
        <w:spacing w:after="80"/>
        <w:rPr/>
      </w:pPr>
      <w:r>
        <w:rPr>
          <w:b w:val="false"/>
          <w:bCs w:val="false"/>
        </w:rPr>
        <w:t>5. Run the Model Architecture and Training cells to build and train CancerNet (up to 40 epochs, with early stopping).</w:t>
      </w:r>
    </w:p>
    <w:p>
      <w:pPr>
        <w:pStyle w:val="style179"/>
        <w:numPr>
          <w:ilvl w:val="0"/>
          <w:numId w:val="1"/>
        </w:numPr>
        <w:spacing w:after="80"/>
        <w:rPr/>
      </w:pPr>
      <w:r>
        <w:rPr>
          <w:b w:val="false"/>
          <w:bCs w:val="false"/>
        </w:rPr>
        <w:t>6. Run the Evaluation, Confusion Matrix, and Performance Analysis cells to reproduce Tables 1–3 and the discussion in Section 8.</w:t>
      </w:r>
    </w:p>
    <w:p>
      <w:pPr>
        <w:pStyle w:val="style0"/>
        <w:spacing w:after="150"/>
        <w:rPr/>
      </w:pPr>
      <w:r>
        <w:rPr>
          <w:i/>
          <w:iCs/>
          <w:color w:val="777777"/>
          <w:sz w:val="18"/>
          <w:szCs w:val="18"/>
        </w:rPr>
        <w:t>(Repeated from Section 7 for reference — populate with your actual run's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rPr/>
        <w:tc>
          <w:tcPr>
            <w:tcW w:w="5040" w:type="dxa"/>
            <w:tcBorders/>
            <w:shd w:val="clear" w:color="auto" w:fill="2f5496"/>
            <w:tcMar>
              <w:top w:w="80" w:type="dxa"/>
              <w:left w:w="100" w:type="dxa"/>
              <w:bottom w:w="80" w:type="dxa"/>
              <w:right w:w="100" w:type="dxa"/>
            </w:tcMar>
          </w:tcPr>
          <w:p>
            <w:pPr>
              <w:pStyle w:val="style0"/>
              <w:jc w:val="left"/>
              <w:rPr/>
            </w:pPr>
            <w:r>
              <w:rPr>
                <w:b/>
                <w:bCs/>
                <w:color w:val="ffffff"/>
                <w:sz w:val="19"/>
                <w:szCs w:val="19"/>
              </w:rPr>
              <w:t>Metric</w:t>
            </w:r>
          </w:p>
        </w:tc>
        <w:tc>
          <w:tcPr>
            <w:tcW w:w="5040" w:type="dxa"/>
            <w:tcBorders/>
            <w:shd w:val="clear" w:color="auto" w:fill="2f5496"/>
            <w:tcMar>
              <w:top w:w="80" w:type="dxa"/>
              <w:left w:w="100" w:type="dxa"/>
              <w:bottom w:w="80" w:type="dxa"/>
              <w:right w:w="100" w:type="dxa"/>
            </w:tcMar>
          </w:tcPr>
          <w:p>
            <w:pPr>
              <w:pStyle w:val="style0"/>
              <w:jc w:val="center"/>
              <w:rPr/>
            </w:pPr>
            <w:r>
              <w:rPr>
                <w:b/>
                <w:bCs/>
                <w:color w:val="ffffff"/>
                <w:sz w:val="19"/>
                <w:szCs w:val="19"/>
              </w:rPr>
              <w:t>Value</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Accuracy</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accuracy]</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Precision</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precision]</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Recall / Sensitivity (Malignant)</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recall]</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F1-Score</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F1-score]</w:t>
            </w:r>
          </w:p>
        </w:tc>
      </w:tr>
      <w:tr>
        <w:tblPrEx/>
        <w:trPr/>
        <w:tc>
          <w:tcPr>
            <w:tcW w:w="5040" w:type="dxa"/>
            <w:tcBorders/>
            <w:tcMar>
              <w:top w:w="80" w:type="dxa"/>
              <w:left w:w="100" w:type="dxa"/>
              <w:bottom w:w="80" w:type="dxa"/>
              <w:right w:w="100" w:type="dxa"/>
            </w:tcMar>
          </w:tcPr>
          <w:p>
            <w:pPr>
              <w:pStyle w:val="style0"/>
              <w:jc w:val="left"/>
              <w:rPr/>
            </w:pPr>
            <w:r>
              <w:rPr>
                <w:b w:val="false"/>
                <w:bCs w:val="false"/>
                <w:color w:val="000000"/>
                <w:sz w:val="19"/>
                <w:szCs w:val="19"/>
              </w:rPr>
              <w:t>ROC-AUC</w:t>
            </w:r>
          </w:p>
        </w:tc>
        <w:tc>
          <w:tcPr>
            <w:tcW w:w="5040" w:type="dxa"/>
            <w:tcBorders/>
            <w:tcMar>
              <w:top w:w="80" w:type="dxa"/>
              <w:left w:w="100" w:type="dxa"/>
              <w:bottom w:w="80" w:type="dxa"/>
              <w:right w:w="100" w:type="dxa"/>
            </w:tcMar>
          </w:tcPr>
          <w:p>
            <w:pPr>
              <w:pStyle w:val="style0"/>
              <w:jc w:val="center"/>
              <w:rPr/>
            </w:pPr>
            <w:r>
              <w:rPr>
                <w:b/>
                <w:bCs/>
                <w:color w:val="b45309"/>
                <w:highlight w:val="yellow"/>
              </w:rPr>
              <w:t>[PLACEHOLDER: test ROC-AUC]</w:t>
            </w:r>
          </w:p>
        </w:tc>
      </w:tr>
    </w:tbl>
    <w:p>
      <w:pPr>
        <w:pStyle w:val="style0"/>
        <w:spacing w:after="200"/>
        <w:rPr/>
      </w:pPr>
    </w:p>
    <w:p>
      <w:pPr>
        <w:pStyle w:val="style0"/>
        <w:spacing w:after="150"/>
        <w:rPr/>
      </w:pPr>
      <w:r>
        <w:t>The following supplementary files accompany this report: the CancerNet Keras notebook (.ipynb), the sample synthetic test dataset used for pipeline verification, and any saved model weights or training-curve/confusion-matrix images generated during the actual training run.</w:t>
      </w:r>
    </w:p>
    <w:p>
      <w:pPr>
        <w:pStyle w:val="style4097"/>
        <w:spacing w:before="300" w:after="150"/>
        <w:rPr/>
      </w:pPr>
      <w:r>
        <w:t>Acknowledgments (Optional)</w:t>
      </w:r>
    </w:p>
    <w:p>
      <w:pPr>
        <w:pStyle w:val="style0"/>
        <w:spacing w:after="150"/>
        <w:rPr/>
      </w:pPr>
      <w:r>
        <w:t>This project was developed with the assistance of Claude (Anthropic) for architecture design, notebook implementation, debugging, and report drafting. Dataset provided by Janowczyk &amp; Madabhushi via Kaggle (Paul Mooney).</w:t>
      </w: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5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edf6b5d6-60e0-4044-8d47-bc4cc12c7ef5"/>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3147</Words>
  <Characters>19994</Characters>
  <Application>WPS Office</Application>
  <Paragraphs>170</Paragraphs>
  <CharactersWithSpaces>23140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2026-08-18T02:11:16Z</dcterms:created>
  <dc:creator>Un-named</dc:creator>
  <lastModifiedBy>RMX3780</lastModifiedBy>
  <dcterms:modified xsi:type="dcterms:W3CDTF">2026-08-18T02:11:16Z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bd69c499a24b4ae49dae93bb43f4b0cb</vt:lpwstr>
  </property>
</Properties>
</file>