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February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LTVIP2026TMIDS87161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Civil Engineering Insight Studio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735"/>
        <w:gridCol w:w="2400"/>
        <w:gridCol w:w="3360"/>
        <w:gridCol w:w="2850"/>
      </w:tblGrid>
      <w:tr>
        <w:trPr>
          <w:trHeight w:val="55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Metrics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Regression Model: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br/>
              <w:t xml:space="preserve">MAE - , MSE - , RMSE - , R2 score -</w:t>
              <w:br/>
              <w:br/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Classification Model:</w:t>
              <w:br/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817" w:hRule="auto"/>
          <w:jc w:val="left"/>
        </w:trPr>
        <w:tc>
          <w:tcPr>
            <w:tcW w:w="7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0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4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Tune the Model</w:t>
            </w:r>
          </w:p>
        </w:tc>
        <w:tc>
          <w:tcPr>
            <w:tcW w:w="33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>
            <w:tcW w:w="28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