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2BAC2" w14:textId="77777777" w:rsidR="002F6759" w:rsidRPr="002F6759" w:rsidRDefault="002F6759" w:rsidP="002F6759">
      <w:pPr>
        <w:rPr>
          <w:b/>
          <w:bCs/>
        </w:rPr>
      </w:pPr>
      <w:r w:rsidRPr="002F6759">
        <w:rPr>
          <w:b/>
          <w:bCs/>
        </w:rPr>
        <w:t>Entendendo o Serviço de Aplicativos do Azure: Tudo que Você Precisa Saber para Começar</w:t>
      </w:r>
    </w:p>
    <w:p w14:paraId="2E737C25" w14:textId="77777777" w:rsidR="002F6759" w:rsidRPr="002F6759" w:rsidRDefault="002F6759" w:rsidP="002F6759">
      <w:r w:rsidRPr="002F6759">
        <w:t xml:space="preserve">Você já se perguntou como grandes empresas conseguem escalar seus aplicativos rapidamente para atender à demanda dos usuários? O Serviço de Aplicativos do Azure é uma solução popular que muitos desenvolvedores utilizam para hospedar e gerenciar aplicativos web, APIs REST e </w:t>
      </w:r>
      <w:proofErr w:type="spellStart"/>
      <w:r w:rsidRPr="002F6759">
        <w:t>back-ends</w:t>
      </w:r>
      <w:proofErr w:type="spellEnd"/>
      <w:r w:rsidRPr="002F6759">
        <w:t xml:space="preserve"> móveis de maneira eficiente e escalável. Vamos mergulhar nesse serviço incrível, entender seus recursos principais, e como você pode tirar o máximo proveito dele.</w:t>
      </w:r>
    </w:p>
    <w:p w14:paraId="1F6E5EDA" w14:textId="77777777" w:rsidR="002F6759" w:rsidRPr="002F6759" w:rsidRDefault="002F6759" w:rsidP="002F6759">
      <w:r w:rsidRPr="002F6759">
        <w:t xml:space="preserve">O Serviço de Aplicativos do Azure é um serviço baseado em HTTP que permite hospedar aplicativos web, APIs REST e </w:t>
      </w:r>
      <w:proofErr w:type="spellStart"/>
      <w:r w:rsidRPr="002F6759">
        <w:t>back-ends</w:t>
      </w:r>
      <w:proofErr w:type="spellEnd"/>
      <w:r w:rsidRPr="002F6759">
        <w:t xml:space="preserve"> móveis em ambientes Windows e Linux. Ele é especialmente útil porque oferece dimensionamento automático, o que significa que ajusta o número de instâncias conforme a demanda, monitorando métricas de recursos e ajustando-se automaticamente. Entre as principais métricas monitoradas estão o percentual de CPU, a porcentagem de memória e o comprimento das filas de disco e HTTP. Isso garante que seu aplicativo esteja sempre pronto para lidar com picos de demanda sem desperdício de recursos.</w:t>
      </w:r>
    </w:p>
    <w:p w14:paraId="683988A4" w14:textId="77777777" w:rsidR="002F6759" w:rsidRPr="002F6759" w:rsidRDefault="002F6759" w:rsidP="002F6759">
      <w:r w:rsidRPr="002F6759">
        <w:t xml:space="preserve">Outro ponto forte do Azure App Service é a integração e a implantação contínuas. Ferramentas como Azure </w:t>
      </w:r>
      <w:proofErr w:type="spellStart"/>
      <w:r w:rsidRPr="002F6759">
        <w:t>DevOps</w:t>
      </w:r>
      <w:proofErr w:type="spellEnd"/>
      <w:r w:rsidRPr="002F6759">
        <w:t xml:space="preserve">, GitHub e </w:t>
      </w:r>
      <w:proofErr w:type="spellStart"/>
      <w:r w:rsidRPr="002F6759">
        <w:t>Bitbucket</w:t>
      </w:r>
      <w:proofErr w:type="spellEnd"/>
      <w:r w:rsidRPr="002F6759">
        <w:t xml:space="preserve"> permitem que você automatize o processo de implantação, garantindo que novas versões do seu aplicativo sejam lançadas sem interrupções. Além disso, existem opções para implantação manual via </w:t>
      </w:r>
      <w:proofErr w:type="spellStart"/>
      <w:r w:rsidRPr="002F6759">
        <w:t>Git</w:t>
      </w:r>
      <w:proofErr w:type="spellEnd"/>
      <w:r w:rsidRPr="002F6759">
        <w:t xml:space="preserve">, CLI, </w:t>
      </w:r>
      <w:proofErr w:type="spellStart"/>
      <w:r w:rsidRPr="002F6759">
        <w:t>Zipdeploy</w:t>
      </w:r>
      <w:proofErr w:type="spellEnd"/>
      <w:r w:rsidRPr="002F6759">
        <w:t xml:space="preserve"> e FTP/S, oferecendo flexibilidade para diferentes necessidades de desenvolvimento.</w:t>
      </w:r>
    </w:p>
    <w:p w14:paraId="023BE54E" w14:textId="77777777" w:rsidR="002F6759" w:rsidRPr="002F6759" w:rsidRDefault="002F6759" w:rsidP="002F6759">
      <w:r w:rsidRPr="002F6759">
        <w:t>Os slots de implantação são uma funcionalidade espetacular do Azure App Service. Eles permitem que você teste novas versões do seu aplicativo em ambientes separados antes de colocá-las em produção. Isso significa que você pode validar alterações sem afetar seus usuários finais. Quando estiver pronto, você pode trocar configurações e conteúdo entre os slots, garantindo uma transição suave e sem surpresas.</w:t>
      </w:r>
    </w:p>
    <w:p w14:paraId="4ED8A020" w14:textId="77777777" w:rsidR="002F6759" w:rsidRPr="002F6759" w:rsidRDefault="002F6759" w:rsidP="002F6759">
      <w:r w:rsidRPr="002F6759">
        <w:t>O Serviço de Aplicativos do Azure oferece diferentes planos e camadas de serviço para atender a diversas necessidades. Os planos incluem recursos de computação que podem ser ajustados conforme necessário. As camadas de uso variam desde recursos compartilhados para desenvolvimento e teste até camadas isoladas que oferecem alto desempenho, segurança e isolamento. A tabela a seguir resume essas camadas: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3540"/>
        <w:gridCol w:w="3320"/>
      </w:tblGrid>
      <w:tr w:rsidR="002F6759" w:rsidRPr="002F6759" w14:paraId="4C5581A9" w14:textId="77777777" w:rsidTr="002F67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83CDB5" w14:textId="77777777" w:rsidR="002F6759" w:rsidRPr="002F6759" w:rsidRDefault="002F6759" w:rsidP="002F6759">
            <w:pPr>
              <w:rPr>
                <w:b/>
                <w:bCs/>
              </w:rPr>
            </w:pPr>
            <w:r w:rsidRPr="002F6759">
              <w:rPr>
                <w:b/>
                <w:bCs/>
              </w:rPr>
              <w:lastRenderedPageBreak/>
              <w:t>Camada</w:t>
            </w:r>
          </w:p>
        </w:tc>
        <w:tc>
          <w:tcPr>
            <w:tcW w:w="0" w:type="auto"/>
            <w:vAlign w:val="center"/>
            <w:hideMark/>
          </w:tcPr>
          <w:p w14:paraId="467780AE" w14:textId="77777777" w:rsidR="002F6759" w:rsidRPr="002F6759" w:rsidRDefault="002F6759" w:rsidP="002F6759">
            <w:pPr>
              <w:rPr>
                <w:b/>
                <w:bCs/>
              </w:rPr>
            </w:pPr>
            <w:r w:rsidRPr="002F6759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71906A93" w14:textId="77777777" w:rsidR="002F6759" w:rsidRPr="002F6759" w:rsidRDefault="002F6759" w:rsidP="002F6759">
            <w:pPr>
              <w:rPr>
                <w:b/>
                <w:bCs/>
              </w:rPr>
            </w:pPr>
            <w:r w:rsidRPr="002F6759">
              <w:rPr>
                <w:b/>
                <w:bCs/>
              </w:rPr>
              <w:t>Recursos</w:t>
            </w:r>
          </w:p>
        </w:tc>
      </w:tr>
      <w:tr w:rsidR="002F6759" w:rsidRPr="002F6759" w14:paraId="2A1A2668" w14:textId="77777777" w:rsidTr="002F67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C1EC5" w14:textId="77777777" w:rsidR="002F6759" w:rsidRPr="002F6759" w:rsidRDefault="002F6759" w:rsidP="002F6759">
            <w:r w:rsidRPr="002F6759">
              <w:t>Compartilhado</w:t>
            </w:r>
          </w:p>
        </w:tc>
        <w:tc>
          <w:tcPr>
            <w:tcW w:w="0" w:type="auto"/>
            <w:vAlign w:val="center"/>
            <w:hideMark/>
          </w:tcPr>
          <w:p w14:paraId="74150E08" w14:textId="77777777" w:rsidR="002F6759" w:rsidRPr="002F6759" w:rsidRDefault="002F6759" w:rsidP="002F6759">
            <w:r w:rsidRPr="002F6759">
              <w:t xml:space="preserve">Recursos compartilhados para </w:t>
            </w:r>
            <w:proofErr w:type="spellStart"/>
            <w:r w:rsidRPr="002F6759">
              <w:t>dev</w:t>
            </w:r>
            <w:proofErr w:type="spellEnd"/>
            <w:r w:rsidRPr="002F6759">
              <w:t>/teste</w:t>
            </w:r>
          </w:p>
        </w:tc>
        <w:tc>
          <w:tcPr>
            <w:tcW w:w="0" w:type="auto"/>
            <w:vAlign w:val="center"/>
            <w:hideMark/>
          </w:tcPr>
          <w:p w14:paraId="66C83806" w14:textId="77777777" w:rsidR="002F6759" w:rsidRPr="002F6759" w:rsidRDefault="002F6759" w:rsidP="002F6759">
            <w:r w:rsidRPr="002F6759">
              <w:t>Não escalável horizontalmente</w:t>
            </w:r>
          </w:p>
        </w:tc>
      </w:tr>
      <w:tr w:rsidR="002F6759" w:rsidRPr="002F6759" w14:paraId="730D74A0" w14:textId="77777777" w:rsidTr="002F67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030A8" w14:textId="77777777" w:rsidR="002F6759" w:rsidRPr="002F6759" w:rsidRDefault="002F6759" w:rsidP="002F6759">
            <w:r w:rsidRPr="002F6759">
              <w:t>Básico</w:t>
            </w:r>
          </w:p>
        </w:tc>
        <w:tc>
          <w:tcPr>
            <w:tcW w:w="0" w:type="auto"/>
            <w:vAlign w:val="center"/>
            <w:hideMark/>
          </w:tcPr>
          <w:p w14:paraId="619784CE" w14:textId="77777777" w:rsidR="002F6759" w:rsidRPr="002F6759" w:rsidRDefault="002F6759" w:rsidP="002F6759">
            <w:r w:rsidRPr="002F6759">
              <w:t xml:space="preserve">Computação dedicada para </w:t>
            </w:r>
            <w:proofErr w:type="spellStart"/>
            <w:r w:rsidRPr="002F6759">
              <w:t>dev</w:t>
            </w:r>
            <w:proofErr w:type="spellEnd"/>
            <w:r w:rsidRPr="002F6759">
              <w:t>/teste</w:t>
            </w:r>
          </w:p>
        </w:tc>
        <w:tc>
          <w:tcPr>
            <w:tcW w:w="0" w:type="auto"/>
            <w:vAlign w:val="center"/>
            <w:hideMark/>
          </w:tcPr>
          <w:p w14:paraId="0CCEC2A2" w14:textId="77777777" w:rsidR="002F6759" w:rsidRPr="002F6759" w:rsidRDefault="002F6759" w:rsidP="002F6759">
            <w:r w:rsidRPr="002F6759">
              <w:t>Limitado ao dimensionamento manual</w:t>
            </w:r>
          </w:p>
        </w:tc>
      </w:tr>
      <w:tr w:rsidR="002F6759" w:rsidRPr="002F6759" w14:paraId="03AE448A" w14:textId="77777777" w:rsidTr="002F67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00BAB" w14:textId="77777777" w:rsidR="002F6759" w:rsidRPr="002F6759" w:rsidRDefault="002F6759" w:rsidP="002F6759">
            <w:r w:rsidRPr="002F6759">
              <w:t>Padrão</w:t>
            </w:r>
          </w:p>
        </w:tc>
        <w:tc>
          <w:tcPr>
            <w:tcW w:w="0" w:type="auto"/>
            <w:vAlign w:val="center"/>
            <w:hideMark/>
          </w:tcPr>
          <w:p w14:paraId="420C8E8A" w14:textId="77777777" w:rsidR="002F6759" w:rsidRPr="002F6759" w:rsidRDefault="002F6759" w:rsidP="002F6759">
            <w:r w:rsidRPr="002F6759">
              <w:t>Executar cargas de trabalho de produção</w:t>
            </w:r>
          </w:p>
        </w:tc>
        <w:tc>
          <w:tcPr>
            <w:tcW w:w="0" w:type="auto"/>
            <w:vAlign w:val="center"/>
            <w:hideMark/>
          </w:tcPr>
          <w:p w14:paraId="76C521CA" w14:textId="77777777" w:rsidR="002F6759" w:rsidRPr="002F6759" w:rsidRDefault="002F6759" w:rsidP="002F6759">
            <w:r w:rsidRPr="002F6759">
              <w:t>Escalável horizontalmente</w:t>
            </w:r>
          </w:p>
        </w:tc>
      </w:tr>
      <w:tr w:rsidR="002F6759" w:rsidRPr="002F6759" w14:paraId="1BC534F5" w14:textId="77777777" w:rsidTr="002F67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802E0" w14:textId="77777777" w:rsidR="002F6759" w:rsidRPr="002F6759" w:rsidRDefault="002F6759" w:rsidP="002F6759">
            <w:r w:rsidRPr="002F6759">
              <w:t>Premium</w:t>
            </w:r>
          </w:p>
        </w:tc>
        <w:tc>
          <w:tcPr>
            <w:tcW w:w="0" w:type="auto"/>
            <w:vAlign w:val="center"/>
            <w:hideMark/>
          </w:tcPr>
          <w:p w14:paraId="2FE333AD" w14:textId="77777777" w:rsidR="002F6759" w:rsidRPr="002F6759" w:rsidRDefault="002F6759" w:rsidP="002F6759">
            <w:r w:rsidRPr="002F6759">
              <w:t>Desempenho e escalabilidade aprimorados</w:t>
            </w:r>
          </w:p>
        </w:tc>
        <w:tc>
          <w:tcPr>
            <w:tcW w:w="0" w:type="auto"/>
            <w:vAlign w:val="center"/>
            <w:hideMark/>
          </w:tcPr>
          <w:p w14:paraId="3A4247B1" w14:textId="77777777" w:rsidR="002F6759" w:rsidRPr="002F6759" w:rsidRDefault="002F6759" w:rsidP="002F6759">
            <w:r w:rsidRPr="002F6759">
              <w:t>Escalável horizontalmente</w:t>
            </w:r>
          </w:p>
        </w:tc>
      </w:tr>
      <w:tr w:rsidR="002F6759" w:rsidRPr="002F6759" w14:paraId="5B76386D" w14:textId="77777777" w:rsidTr="002F67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D64CE" w14:textId="77777777" w:rsidR="002F6759" w:rsidRPr="002F6759" w:rsidRDefault="002F6759" w:rsidP="002F6759">
            <w:r w:rsidRPr="002F6759">
              <w:t>Isolado</w:t>
            </w:r>
          </w:p>
        </w:tc>
        <w:tc>
          <w:tcPr>
            <w:tcW w:w="0" w:type="auto"/>
            <w:vAlign w:val="center"/>
            <w:hideMark/>
          </w:tcPr>
          <w:p w14:paraId="06612FD2" w14:textId="77777777" w:rsidR="002F6759" w:rsidRPr="002F6759" w:rsidRDefault="002F6759" w:rsidP="002F6759">
            <w:r w:rsidRPr="002F6759">
              <w:t>Alto desempenho, segurança e isolamento</w:t>
            </w:r>
          </w:p>
        </w:tc>
        <w:tc>
          <w:tcPr>
            <w:tcW w:w="0" w:type="auto"/>
            <w:vAlign w:val="center"/>
            <w:hideMark/>
          </w:tcPr>
          <w:p w14:paraId="59743DDD" w14:textId="77777777" w:rsidR="002F6759" w:rsidRPr="002F6759" w:rsidRDefault="002F6759" w:rsidP="002F6759">
            <w:r w:rsidRPr="002F6759">
              <w:t>Escalável horizontalmente</w:t>
            </w:r>
          </w:p>
        </w:tc>
      </w:tr>
    </w:tbl>
    <w:p w14:paraId="615F9213" w14:textId="77777777" w:rsidR="002F6759" w:rsidRPr="002F6759" w:rsidRDefault="002F6759" w:rsidP="002F6759">
      <w:r w:rsidRPr="002F6759">
        <w:t xml:space="preserve">Configurar seu aplicativo web no Azure é fácil e flexível. Você pode adicionar e editar configurações diretamente no portal, seja </w:t>
      </w:r>
      <w:proofErr w:type="gramStart"/>
      <w:r w:rsidRPr="002F6759">
        <w:t>criando novas</w:t>
      </w:r>
      <w:proofErr w:type="gramEnd"/>
      <w:r w:rsidRPr="002F6759">
        <w:t xml:space="preserve"> configurações de aplicativo ou ajustando cadeias de conexão. As configurações gerais, como a pilha de software (versões da linguagem e do SDK), e configurações de plataforma (número de bits, protocolo </w:t>
      </w:r>
      <w:proofErr w:type="spellStart"/>
      <w:r w:rsidRPr="002F6759">
        <w:t>WebSocket</w:t>
      </w:r>
      <w:proofErr w:type="spellEnd"/>
      <w:r w:rsidRPr="002F6759">
        <w:t xml:space="preserve">, Always </w:t>
      </w:r>
      <w:proofErr w:type="spellStart"/>
      <w:r w:rsidRPr="002F6759">
        <w:t>On</w:t>
      </w:r>
      <w:proofErr w:type="spellEnd"/>
      <w:r w:rsidRPr="002F6759">
        <w:t>) são intuitivas e oferecem um grande controle sobre como seu aplicativo é executado.</w:t>
      </w:r>
    </w:p>
    <w:p w14:paraId="2A73D2FF" w14:textId="77777777" w:rsidR="002F6759" w:rsidRPr="002F6759" w:rsidRDefault="002F6759" w:rsidP="002F6759">
      <w:r w:rsidRPr="002F6759">
        <w:t xml:space="preserve">A segurança é uma prioridade no Azure App Service, com opções robustas para gerenciamento de certificados. Você pode optar por certificados gerenciados gratuitamente pelo serviço, comprar novos certificados, importar do Key </w:t>
      </w:r>
      <w:proofErr w:type="spellStart"/>
      <w:r w:rsidRPr="002F6759">
        <w:t>Vault</w:t>
      </w:r>
      <w:proofErr w:type="spellEnd"/>
      <w:r w:rsidRPr="002F6759">
        <w:t xml:space="preserve"> ou carregar certificados privados ou públicos. Isso garante que suas conexões sejam sempre seguras e confiáveis.</w:t>
      </w:r>
    </w:p>
    <w:p w14:paraId="38725049" w14:textId="77777777" w:rsidR="002F6759" w:rsidRPr="002F6759" w:rsidRDefault="002F6759" w:rsidP="002F6759">
      <w:r w:rsidRPr="002F6759">
        <w:t>Vamos falar sobre dimensionamento de aplicativos. O dimensionamento automático é um recurso vital que ajusta o número de instâncias disponíveis com base em métricas como uso de CPU, memória e fila de disco. Você pode definir condições de dimensionamento com base em métricas específicas ou cronogramas, criando múltiplas condições para necessidades complexas. Monitorar essas alterações é simples com o gráfico "Histórico de Execuções", que mostra todas as modificações no dimensionamento automático.</w:t>
      </w:r>
    </w:p>
    <w:p w14:paraId="147EDD95" w14:textId="77777777" w:rsidR="002F6759" w:rsidRPr="002F6759" w:rsidRDefault="002F6759" w:rsidP="002F6759">
      <w:r w:rsidRPr="002F6759">
        <w:t>Práticas recomendadas incluem definir valores mínimos e máximos com uma margem suficiente entre eles, escolher estatísticas apropriadas para suas métricas e configurar notificações para acompanhar o desempenho do seu aplicativo. A tabela abaixo resume as principais métricas de dimensionamento automático: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5"/>
        <w:gridCol w:w="5110"/>
      </w:tblGrid>
      <w:tr w:rsidR="002F6759" w:rsidRPr="002F6759" w14:paraId="2EE4D81E" w14:textId="77777777" w:rsidTr="002F67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076788" w14:textId="77777777" w:rsidR="002F6759" w:rsidRPr="002F6759" w:rsidRDefault="002F6759" w:rsidP="002F6759">
            <w:pPr>
              <w:rPr>
                <w:b/>
                <w:bCs/>
              </w:rPr>
            </w:pPr>
            <w:r w:rsidRPr="002F6759">
              <w:rPr>
                <w:b/>
                <w:bCs/>
              </w:rPr>
              <w:lastRenderedPageBreak/>
              <w:t>Métrica</w:t>
            </w:r>
          </w:p>
        </w:tc>
        <w:tc>
          <w:tcPr>
            <w:tcW w:w="0" w:type="auto"/>
            <w:vAlign w:val="center"/>
            <w:hideMark/>
          </w:tcPr>
          <w:p w14:paraId="511BB468" w14:textId="77777777" w:rsidR="002F6759" w:rsidRPr="002F6759" w:rsidRDefault="002F6759" w:rsidP="002F6759">
            <w:pPr>
              <w:rPr>
                <w:b/>
                <w:bCs/>
              </w:rPr>
            </w:pPr>
            <w:r w:rsidRPr="002F6759">
              <w:rPr>
                <w:b/>
                <w:bCs/>
              </w:rPr>
              <w:t>Descrição</w:t>
            </w:r>
          </w:p>
        </w:tc>
      </w:tr>
      <w:tr w:rsidR="002F6759" w:rsidRPr="002F6759" w14:paraId="2BE961E0" w14:textId="77777777" w:rsidTr="002F67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3C4AD" w14:textId="77777777" w:rsidR="002F6759" w:rsidRPr="002F6759" w:rsidRDefault="002F6759" w:rsidP="002F6759">
            <w:r w:rsidRPr="002F6759">
              <w:t>Percentual de CPU</w:t>
            </w:r>
          </w:p>
        </w:tc>
        <w:tc>
          <w:tcPr>
            <w:tcW w:w="0" w:type="auto"/>
            <w:vAlign w:val="center"/>
            <w:hideMark/>
          </w:tcPr>
          <w:p w14:paraId="6EDCE927" w14:textId="77777777" w:rsidR="002F6759" w:rsidRPr="002F6759" w:rsidRDefault="002F6759" w:rsidP="002F6759">
            <w:r w:rsidRPr="002F6759">
              <w:t>Uso da CPU em todas as instâncias</w:t>
            </w:r>
          </w:p>
        </w:tc>
      </w:tr>
      <w:tr w:rsidR="002F6759" w:rsidRPr="002F6759" w14:paraId="2A94EC0B" w14:textId="77777777" w:rsidTr="002F67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C86A6" w14:textId="77777777" w:rsidR="002F6759" w:rsidRPr="002F6759" w:rsidRDefault="002F6759" w:rsidP="002F6759">
            <w:r w:rsidRPr="002F6759">
              <w:t>Porcentagem de Memória</w:t>
            </w:r>
          </w:p>
        </w:tc>
        <w:tc>
          <w:tcPr>
            <w:tcW w:w="0" w:type="auto"/>
            <w:vAlign w:val="center"/>
            <w:hideMark/>
          </w:tcPr>
          <w:p w14:paraId="7FA65196" w14:textId="77777777" w:rsidR="002F6759" w:rsidRPr="002F6759" w:rsidRDefault="002F6759" w:rsidP="002F6759">
            <w:r w:rsidRPr="002F6759">
              <w:t>Uso da memória em todas as instâncias</w:t>
            </w:r>
          </w:p>
        </w:tc>
      </w:tr>
      <w:tr w:rsidR="002F6759" w:rsidRPr="002F6759" w14:paraId="7D5F67B9" w14:textId="77777777" w:rsidTr="002F67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021E9" w14:textId="77777777" w:rsidR="002F6759" w:rsidRPr="002F6759" w:rsidRDefault="002F6759" w:rsidP="002F6759">
            <w:r w:rsidRPr="002F6759">
              <w:t>Fila de Disco</w:t>
            </w:r>
          </w:p>
        </w:tc>
        <w:tc>
          <w:tcPr>
            <w:tcW w:w="0" w:type="auto"/>
            <w:vAlign w:val="center"/>
            <w:hideMark/>
          </w:tcPr>
          <w:p w14:paraId="0791BF2A" w14:textId="77777777" w:rsidR="002F6759" w:rsidRPr="002F6759" w:rsidRDefault="002F6759" w:rsidP="002F6759">
            <w:r w:rsidRPr="002F6759">
              <w:t>Comprimento das solicitações de E/S pendentes</w:t>
            </w:r>
          </w:p>
        </w:tc>
      </w:tr>
      <w:tr w:rsidR="002F6759" w:rsidRPr="002F6759" w14:paraId="3337D43C" w14:textId="77777777" w:rsidTr="002F67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B309F" w14:textId="77777777" w:rsidR="002F6759" w:rsidRPr="002F6759" w:rsidRDefault="002F6759" w:rsidP="002F6759">
            <w:r w:rsidRPr="002F6759">
              <w:t>Fila HTTP</w:t>
            </w:r>
          </w:p>
        </w:tc>
        <w:tc>
          <w:tcPr>
            <w:tcW w:w="0" w:type="auto"/>
            <w:vAlign w:val="center"/>
            <w:hideMark/>
          </w:tcPr>
          <w:p w14:paraId="3E252CE3" w14:textId="77777777" w:rsidR="002F6759" w:rsidRPr="002F6759" w:rsidRDefault="002F6759" w:rsidP="002F6759">
            <w:r w:rsidRPr="002F6759">
              <w:t>Número de solicitações do cliente</w:t>
            </w:r>
          </w:p>
        </w:tc>
      </w:tr>
      <w:tr w:rsidR="002F6759" w:rsidRPr="002F6759" w14:paraId="03F60EB4" w14:textId="77777777" w:rsidTr="002F67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5DE7B" w14:textId="77777777" w:rsidR="002F6759" w:rsidRPr="002F6759" w:rsidRDefault="002F6759" w:rsidP="002F6759">
            <w:r w:rsidRPr="002F6759">
              <w:t>Entrada de Dados</w:t>
            </w:r>
          </w:p>
        </w:tc>
        <w:tc>
          <w:tcPr>
            <w:tcW w:w="0" w:type="auto"/>
            <w:vAlign w:val="center"/>
            <w:hideMark/>
          </w:tcPr>
          <w:p w14:paraId="4AC508F9" w14:textId="77777777" w:rsidR="002F6759" w:rsidRPr="002F6759" w:rsidRDefault="002F6759" w:rsidP="002F6759">
            <w:r w:rsidRPr="002F6759">
              <w:t>Número de bytes recebidos</w:t>
            </w:r>
          </w:p>
        </w:tc>
      </w:tr>
      <w:tr w:rsidR="002F6759" w:rsidRPr="002F6759" w14:paraId="2E9BED5A" w14:textId="77777777" w:rsidTr="002F67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EC57E" w14:textId="77777777" w:rsidR="002F6759" w:rsidRPr="002F6759" w:rsidRDefault="002F6759" w:rsidP="002F6759">
            <w:r w:rsidRPr="002F6759">
              <w:t>Saída de Dados</w:t>
            </w:r>
          </w:p>
        </w:tc>
        <w:tc>
          <w:tcPr>
            <w:tcW w:w="0" w:type="auto"/>
            <w:vAlign w:val="center"/>
            <w:hideMark/>
          </w:tcPr>
          <w:p w14:paraId="130B2BCC" w14:textId="77777777" w:rsidR="002F6759" w:rsidRPr="002F6759" w:rsidRDefault="002F6759" w:rsidP="002F6759">
            <w:r w:rsidRPr="002F6759">
              <w:t>Número de bytes enviados</w:t>
            </w:r>
          </w:p>
        </w:tc>
      </w:tr>
    </w:tbl>
    <w:p w14:paraId="2EED7109" w14:textId="77777777" w:rsidR="002F6759" w:rsidRPr="002F6759" w:rsidRDefault="002F6759" w:rsidP="002F6759">
      <w:r w:rsidRPr="002F6759">
        <w:t>Os slots de implantação não são apenas úteis para testar novas versões; eles também permitem roteamento de tráfego de produção. Isso pode ser feito de forma automática ou manual, utilizando o parâmetro de consulta x-</w:t>
      </w:r>
      <w:proofErr w:type="spellStart"/>
      <w:r w:rsidRPr="002F6759">
        <w:t>ms</w:t>
      </w:r>
      <w:proofErr w:type="spellEnd"/>
      <w:r w:rsidRPr="002F6759">
        <w:t>-</w:t>
      </w:r>
      <w:proofErr w:type="spellStart"/>
      <w:r w:rsidRPr="002F6759">
        <w:t>routing-name</w:t>
      </w:r>
      <w:proofErr w:type="spellEnd"/>
      <w:r w:rsidRPr="002F6759">
        <w:t xml:space="preserve"> para rotear solicitações para um slot específico. Isso é ideal para testar novas funcionalidades com um subconjunto de usuários antes de lançar para todos.</w:t>
      </w:r>
    </w:p>
    <w:p w14:paraId="661629DA" w14:textId="77777777" w:rsidR="002F6759" w:rsidRPr="002F6759" w:rsidRDefault="002F6759" w:rsidP="002F6759">
      <w:r w:rsidRPr="002F6759">
        <w:t xml:space="preserve">Em resumo, o Serviço de Aplicativos do Azure é uma ferramenta poderosa que oferece escalabilidade, flexibilidade e segurança para seus aplicativos web, APIs REST e </w:t>
      </w:r>
      <w:proofErr w:type="spellStart"/>
      <w:r w:rsidRPr="002F6759">
        <w:t>back-ends</w:t>
      </w:r>
      <w:proofErr w:type="spellEnd"/>
      <w:r w:rsidRPr="002F6759">
        <w:t xml:space="preserve"> móveis. Com funcionalidades como dimensionamento automático, integração contínua, slots de implantação e diversas opções de configuração e segurança, você pode garantir que seu aplicativo esteja sempre disponível, eficiente e pronto para crescer conforme a demanda. Se você ainda não explorou tudo o que o Azure App Service tem a oferecer, agora é a hora de começar e transformar a maneira como você gerencia seus aplicativos na nuvem.</w:t>
      </w:r>
    </w:p>
    <w:p w14:paraId="5C4232ED" w14:textId="77777777" w:rsidR="00BF0D0A" w:rsidRDefault="00BF0D0A"/>
    <w:sectPr w:rsidR="00BF0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84"/>
    <w:rsid w:val="002F6759"/>
    <w:rsid w:val="009F447D"/>
    <w:rsid w:val="00A74884"/>
    <w:rsid w:val="00B800AE"/>
    <w:rsid w:val="00BF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3AF260-33F6-4FBE-96DD-A7C624E40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74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4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48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4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48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4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4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4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4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48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48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48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48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488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48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48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48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48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4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4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4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4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4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48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488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488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48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488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48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12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894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Khalil</dc:creator>
  <cp:keywords/>
  <dc:description/>
  <cp:lastModifiedBy>Raja Khalil</cp:lastModifiedBy>
  <cp:revision>2</cp:revision>
  <dcterms:created xsi:type="dcterms:W3CDTF">2025-01-14T22:15:00Z</dcterms:created>
  <dcterms:modified xsi:type="dcterms:W3CDTF">2025-01-14T22:15:00Z</dcterms:modified>
</cp:coreProperties>
</file>