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color w:val="1F4E79"/>
          <w:sz w:val="36"/>
        </w:rPr>
        <w:t>RESEARCH PROPOSAL</w:t>
      </w:r>
    </w:p>
    <w:p>
      <w:pPr>
        <w:jc w:val="center"/>
      </w:pPr>
      <w:r>
        <w:rPr>
          <w:rFonts w:ascii="Times New Roman" w:hAnsi="Times New Roman"/>
          <w:b/>
          <w:sz w:val="34"/>
        </w:rPr>
        <w:t>Growth and Characterization of Two-Dimensional</w:t>
        <w:br/>
        <w:t>Ferromagnetic Materials at Room Temperature</w:t>
      </w:r>
    </w:p>
    <w:p>
      <w:pPr>
        <w:jc w:val="center"/>
      </w:pPr>
      <w:r>
        <w:rPr>
          <w:rFonts w:ascii="Times New Roman" w:hAnsi="Times New Roman"/>
          <w:i/>
          <w:color w:val="555555"/>
          <w:sz w:val="21"/>
        </w:rPr>
        <w:t>Enhanced figure-rich version modeled after the 2021 proposal format</w:t>
      </w:r>
    </w:p>
    <w:tbl>
      <w:tblPr>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0224"/>
      </w:tblGrid>
      <w:tr>
        <w:tc>
          <w:tcPr>
            <w:tcW w:type="dxa" w:w="10224"/>
            <w:shd w:fill="EFF6FC"/>
          </w:tcPr>
          <w:p>
            <w:pPr>
              <w:jc w:val="both"/>
            </w:pPr>
            <w:r/>
            <w:r>
              <w:rPr>
                <w:rFonts w:ascii="Times New Roman" w:hAnsi="Times New Roman"/>
                <w:b/>
                <w:color w:val="1F4E79"/>
                <w:sz w:val="21"/>
              </w:rPr>
              <w:t xml:space="preserve">Executive Summary. </w:t>
            </w:r>
            <w:r>
              <w:rPr>
                <w:rFonts w:ascii="Times New Roman" w:hAnsi="Times New Roman"/>
                <w:sz w:val="21"/>
              </w:rPr>
              <w:t>The proposed research targets scalable synthesis, rigorous verification, and device integration of two-dimensional ferromagnetic materials that retain long-range magnetic order at and above room temperature. The core strategy is to combine strong perpendicular magnetic anisotropy, controlled stoichiometry, defect/vacancy engineering, and clean van der Waals interfaces to produce CrTe₂, Fe₃GaTe₂, MnS₂/ReS₂, Fe₅₋xGeTe₂, and MBene-based candidate films. The deliverables include reproducible MBE/CVD protocols, a standardized multi-technique characterization workflow, and proof-of-concept anomalous Hall, magnetic tunnel junction, and spin-orbit torque devices.</w:t>
            </w:r>
          </w:p>
        </w:tc>
      </w:tr>
    </w:tbl>
    <w:p>
      <w:pPr>
        <w:pStyle w:val="SectionHeading"/>
        <w:spacing w:before="200" w:after="80"/>
        <w:shd w:fill="D9EAF7"/>
      </w:pPr>
      <w:r>
        <w:rPr>
          <w:rFonts w:ascii="Times New Roman" w:hAnsi="Times New Roman"/>
          <w:b/>
          <w:color w:val="1F4E79"/>
          <w:sz w:val="26"/>
        </w:rPr>
        <w:t>I. Specific Aims</w:t>
      </w:r>
    </w:p>
    <w:p>
      <w:pPr>
        <w:pStyle w:val="Body"/>
        <w:spacing w:after="80" w:line="259" w:lineRule="auto"/>
        <w:ind w:firstLine="360"/>
        <w:jc w:val="both"/>
      </w:pPr>
      <w:r>
        <w:rPr>
          <w:rFonts w:ascii="Times New Roman" w:hAnsi="Times New Roman"/>
          <w:sz w:val="21"/>
        </w:rPr>
        <w:t>This project proposes a coordinated materials-to-device program for room-temperature two-dimensional ferromagnets. The central hypothesis is that long-range magnetic order in atomically thin films can be stabilized when magnetic anisotropy, epitaxial strain, stoichiometric control, and interface cleanliness are engineered together rather than optimized separately. The proposed work is organized into four integrated aims:</w:t>
      </w:r>
    </w:p>
    <w:p>
      <w:pPr>
        <w:pStyle w:val="ListBullet"/>
        <w:spacing w:after="40"/>
        <w:ind w:left="504" w:hanging="259"/>
        <w:jc w:val="both"/>
      </w:pPr>
      <w:r>
        <w:rPr>
          <w:rFonts w:ascii="Times New Roman" w:hAnsi="Times New Roman"/>
          <w:sz w:val="20"/>
        </w:rPr>
        <w:t>Aim 1 — Scalable growth: establish reproducible MBE and CVD protocols for CrTe₂, Fe₃GaTe₂, MnS₂/ReS₂, Fe₅₋xGeTe₂, and vacancy-engineered MBene nanosheets with controlled thickness down to the monolayer/few-layer limit.</w:t>
      </w:r>
    </w:p>
    <w:p>
      <w:pPr>
        <w:pStyle w:val="ListBullet"/>
        <w:spacing w:after="40"/>
        <w:ind w:left="504" w:hanging="259"/>
        <w:jc w:val="both"/>
      </w:pPr>
      <w:r>
        <w:rPr>
          <w:rFonts w:ascii="Times New Roman" w:hAnsi="Times New Roman"/>
          <w:sz w:val="20"/>
        </w:rPr>
        <w:t>Aim 2 — Intrinsic magnetism verification: create a standardized, multi-technique protocol combining STEM, XRD, RHEED, RBS, XPS, EDS, SQUID, MOKE, MFM, XMCD, ARPES, and transport measurements to distinguish intrinsic ferromagnetism from substrate, impurity, and defect-only signals.</w:t>
      </w:r>
    </w:p>
    <w:p>
      <w:pPr>
        <w:pStyle w:val="ListBullet"/>
        <w:spacing w:after="40"/>
        <w:ind w:left="504" w:hanging="259"/>
        <w:jc w:val="both"/>
      </w:pPr>
      <w:r>
        <w:rPr>
          <w:rFonts w:ascii="Times New Roman" w:hAnsi="Times New Roman"/>
          <w:sz w:val="20"/>
        </w:rPr>
        <w:t>Aim 3 — Device demonstration: fabricate room-temperature Hall bar, magnetic tunnel junction, and spin-orbit torque devices to quantify anomalous Hall response, tunneling magnetoresistance, switching current, thermal stability, and reproducibility.</w:t>
      </w:r>
    </w:p>
    <w:p>
      <w:pPr>
        <w:pStyle w:val="ListBullet"/>
        <w:spacing w:after="40"/>
        <w:ind w:left="504" w:hanging="259"/>
        <w:jc w:val="both"/>
      </w:pPr>
      <w:r>
        <w:rPr>
          <w:rFonts w:ascii="Times New Roman" w:hAnsi="Times New Roman"/>
          <w:sz w:val="20"/>
        </w:rPr>
        <w:t>Aim 4 — Mechanism and data integration: link growth conditions to magnetic anisotropy, Curie temperature, electronic structure, and device performance using DFT, statistical process mapping, and open-access datasets.</w:t>
      </w:r>
    </w:p>
    <w:p>
      <w:pPr>
        <w:pStyle w:val="SubsectionHeading"/>
      </w:pPr>
      <w:r>
        <w:rPr>
          <w:rFonts w:ascii="Times New Roman" w:hAnsi="Times New Roman"/>
          <w:b/>
          <w:color w:val="1F4E79"/>
          <w:sz w:val="22"/>
        </w:rPr>
        <w:t>Deliverables and success metrics</w:t>
      </w:r>
    </w:p>
    <w:tbl>
      <w:tblPr>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56"/>
        <w:gridCol w:w="2556"/>
        <w:gridCol w:w="2556"/>
        <w:gridCol w:w="2556"/>
      </w:tblGrid>
      <w:tr>
        <w:tc>
          <w:tcPr>
            <w:tcW w:type="dxa" w:w="2556"/>
            <w:vAlign w:val="center"/>
            <w:shd w:fill="1F4E79"/>
          </w:tcPr>
          <w:p>
            <w:pPr>
              <w:jc w:val="center"/>
            </w:pPr>
            <w:r/>
            <w:r>
              <w:rPr>
                <w:rFonts w:ascii="Times New Roman" w:hAnsi="Times New Roman"/>
                <w:b/>
                <w:color w:val="FFFFFF"/>
                <w:sz w:val="17"/>
              </w:rPr>
              <w:t>Aim</w:t>
            </w:r>
          </w:p>
        </w:tc>
        <w:tc>
          <w:tcPr>
            <w:tcW w:type="dxa" w:w="2556"/>
            <w:vAlign w:val="center"/>
            <w:shd w:fill="1F4E79"/>
          </w:tcPr>
          <w:p>
            <w:pPr>
              <w:jc w:val="center"/>
            </w:pPr>
            <w:r/>
            <w:r>
              <w:rPr>
                <w:rFonts w:ascii="Times New Roman" w:hAnsi="Times New Roman"/>
                <w:b/>
                <w:color w:val="FFFFFF"/>
                <w:sz w:val="17"/>
              </w:rPr>
              <w:t>Primary question</w:t>
            </w:r>
          </w:p>
        </w:tc>
        <w:tc>
          <w:tcPr>
            <w:tcW w:type="dxa" w:w="2556"/>
            <w:vAlign w:val="center"/>
            <w:shd w:fill="1F4E79"/>
          </w:tcPr>
          <w:p>
            <w:pPr>
              <w:jc w:val="center"/>
            </w:pPr>
            <w:r/>
            <w:r>
              <w:rPr>
                <w:rFonts w:ascii="Times New Roman" w:hAnsi="Times New Roman"/>
                <w:b/>
                <w:color w:val="FFFFFF"/>
                <w:sz w:val="17"/>
              </w:rPr>
              <w:t>Key methods</w:t>
            </w:r>
          </w:p>
        </w:tc>
        <w:tc>
          <w:tcPr>
            <w:tcW w:type="dxa" w:w="2556"/>
            <w:vAlign w:val="center"/>
            <w:shd w:fill="1F4E79"/>
          </w:tcPr>
          <w:p>
            <w:pPr>
              <w:jc w:val="center"/>
            </w:pPr>
            <w:r/>
            <w:r>
              <w:rPr>
                <w:rFonts w:ascii="Times New Roman" w:hAnsi="Times New Roman"/>
                <w:b/>
                <w:color w:val="FFFFFF"/>
                <w:sz w:val="17"/>
              </w:rPr>
              <w:t>Success metric</w:t>
            </w:r>
          </w:p>
        </w:tc>
      </w:tr>
      <w:tr>
        <w:tc>
          <w:tcPr>
            <w:tcW w:type="dxa" w:w="2556"/>
            <w:vAlign w:val="center"/>
          </w:tcPr>
          <w:p>
            <w:pPr>
              <w:jc w:val="left"/>
            </w:pPr>
            <w:r/>
            <w:r>
              <w:rPr>
                <w:rFonts w:ascii="Times New Roman" w:hAnsi="Times New Roman"/>
                <w:b w:val="0"/>
                <w:sz w:val="16"/>
              </w:rPr>
              <w:t>Aim 1</w:t>
            </w:r>
          </w:p>
        </w:tc>
        <w:tc>
          <w:tcPr>
            <w:tcW w:type="dxa" w:w="2556"/>
            <w:vAlign w:val="center"/>
          </w:tcPr>
          <w:p>
            <w:pPr>
              <w:jc w:val="left"/>
            </w:pPr>
            <w:r/>
            <w:r>
              <w:rPr>
                <w:rFonts w:ascii="Times New Roman" w:hAnsi="Times New Roman"/>
                <w:b w:val="0"/>
                <w:sz w:val="16"/>
              </w:rPr>
              <w:t>Can target films be grown reproducibly at useful area?</w:t>
            </w:r>
          </w:p>
        </w:tc>
        <w:tc>
          <w:tcPr>
            <w:tcW w:type="dxa" w:w="2556"/>
            <w:vAlign w:val="center"/>
          </w:tcPr>
          <w:p>
            <w:pPr>
              <w:jc w:val="left"/>
            </w:pPr>
            <w:r/>
            <w:r>
              <w:rPr>
                <w:rFonts w:ascii="Times New Roman" w:hAnsi="Times New Roman"/>
                <w:b w:val="0"/>
                <w:sz w:val="16"/>
              </w:rPr>
              <w:t>MBE, CVD, RHEED, AFM, RBS</w:t>
            </w:r>
          </w:p>
        </w:tc>
        <w:tc>
          <w:tcPr>
            <w:tcW w:type="dxa" w:w="2556"/>
            <w:vAlign w:val="center"/>
          </w:tcPr>
          <w:p>
            <w:pPr>
              <w:jc w:val="left"/>
            </w:pPr>
            <w:r/>
            <w:r>
              <w:rPr>
                <w:rFonts w:ascii="Times New Roman" w:hAnsi="Times New Roman"/>
                <w:b w:val="0"/>
                <w:sz w:val="16"/>
              </w:rPr>
              <w:t>≥1 cm² films; RMS roughness ≤10 nm; T_C within 10% across ≥10 runs</w:t>
            </w:r>
          </w:p>
        </w:tc>
      </w:tr>
      <w:tr>
        <w:tc>
          <w:tcPr>
            <w:tcW w:type="dxa" w:w="2556"/>
            <w:vAlign w:val="center"/>
          </w:tcPr>
          <w:p>
            <w:pPr>
              <w:jc w:val="left"/>
            </w:pPr>
            <w:r/>
            <w:r>
              <w:rPr>
                <w:rFonts w:ascii="Times New Roman" w:hAnsi="Times New Roman"/>
                <w:b w:val="0"/>
                <w:sz w:val="16"/>
              </w:rPr>
              <w:t>Aim 2</w:t>
            </w:r>
          </w:p>
        </w:tc>
        <w:tc>
          <w:tcPr>
            <w:tcW w:type="dxa" w:w="2556"/>
            <w:vAlign w:val="center"/>
          </w:tcPr>
          <w:p>
            <w:pPr>
              <w:jc w:val="left"/>
            </w:pPr>
            <w:r/>
            <w:r>
              <w:rPr>
                <w:rFonts w:ascii="Times New Roman" w:hAnsi="Times New Roman"/>
                <w:b w:val="0"/>
                <w:sz w:val="16"/>
              </w:rPr>
              <w:t>Is the ferromagnetism intrinsic?</w:t>
            </w:r>
          </w:p>
        </w:tc>
        <w:tc>
          <w:tcPr>
            <w:tcW w:type="dxa" w:w="2556"/>
            <w:vAlign w:val="center"/>
          </w:tcPr>
          <w:p>
            <w:pPr>
              <w:jc w:val="left"/>
            </w:pPr>
            <w:r/>
            <w:r>
              <w:rPr>
                <w:rFonts w:ascii="Times New Roman" w:hAnsi="Times New Roman"/>
                <w:b w:val="0"/>
                <w:sz w:val="16"/>
              </w:rPr>
              <w:t>SQUID, MOKE, MFM, XMCD, ARPES, STEM</w:t>
            </w:r>
          </w:p>
        </w:tc>
        <w:tc>
          <w:tcPr>
            <w:tcW w:type="dxa" w:w="2556"/>
            <w:vAlign w:val="center"/>
          </w:tcPr>
          <w:p>
            <w:pPr>
              <w:jc w:val="left"/>
            </w:pPr>
            <w:r/>
            <w:r>
              <w:rPr>
                <w:rFonts w:ascii="Times New Roman" w:hAnsi="Times New Roman"/>
                <w:b w:val="0"/>
                <w:sz w:val="16"/>
              </w:rPr>
              <w:t>Consistent thickness-dependent and element-selective magnetic evidence</w:t>
            </w:r>
          </w:p>
        </w:tc>
      </w:tr>
      <w:tr>
        <w:tc>
          <w:tcPr>
            <w:tcW w:type="dxa" w:w="2556"/>
            <w:vAlign w:val="center"/>
          </w:tcPr>
          <w:p>
            <w:pPr>
              <w:jc w:val="left"/>
            </w:pPr>
            <w:r/>
            <w:r>
              <w:rPr>
                <w:rFonts w:ascii="Times New Roman" w:hAnsi="Times New Roman"/>
                <w:b w:val="0"/>
                <w:sz w:val="16"/>
              </w:rPr>
              <w:t>Aim 3</w:t>
            </w:r>
          </w:p>
        </w:tc>
        <w:tc>
          <w:tcPr>
            <w:tcW w:type="dxa" w:w="2556"/>
            <w:vAlign w:val="center"/>
          </w:tcPr>
          <w:p>
            <w:pPr>
              <w:jc w:val="left"/>
            </w:pPr>
            <w:r/>
            <w:r>
              <w:rPr>
                <w:rFonts w:ascii="Times New Roman" w:hAnsi="Times New Roman"/>
                <w:b w:val="0"/>
                <w:sz w:val="16"/>
              </w:rPr>
              <w:t>Can films operate in devices at 300 K?</w:t>
            </w:r>
          </w:p>
        </w:tc>
        <w:tc>
          <w:tcPr>
            <w:tcW w:type="dxa" w:w="2556"/>
            <w:vAlign w:val="center"/>
          </w:tcPr>
          <w:p>
            <w:pPr>
              <w:jc w:val="left"/>
            </w:pPr>
            <w:r/>
            <w:r>
              <w:rPr>
                <w:rFonts w:ascii="Times New Roman" w:hAnsi="Times New Roman"/>
                <w:b w:val="0"/>
                <w:sz w:val="16"/>
              </w:rPr>
              <w:t>AHE, MTJ, SOT transport</w:t>
            </w:r>
          </w:p>
        </w:tc>
        <w:tc>
          <w:tcPr>
            <w:tcW w:type="dxa" w:w="2556"/>
            <w:vAlign w:val="center"/>
          </w:tcPr>
          <w:p>
            <w:pPr>
              <w:jc w:val="left"/>
            </w:pPr>
            <w:r/>
            <w:r>
              <w:rPr>
                <w:rFonts w:ascii="Times New Roman" w:hAnsi="Times New Roman"/>
                <w:b w:val="0"/>
                <w:sz w:val="16"/>
              </w:rPr>
              <w:t>AHE switching in ≥10 devices; target TMR &gt;30% at 300 K</w:t>
            </w:r>
          </w:p>
        </w:tc>
      </w:tr>
      <w:tr>
        <w:tc>
          <w:tcPr>
            <w:tcW w:type="dxa" w:w="2556"/>
            <w:vAlign w:val="center"/>
          </w:tcPr>
          <w:p>
            <w:pPr>
              <w:jc w:val="left"/>
            </w:pPr>
            <w:r/>
            <w:r>
              <w:rPr>
                <w:rFonts w:ascii="Times New Roman" w:hAnsi="Times New Roman"/>
                <w:b w:val="0"/>
                <w:sz w:val="16"/>
              </w:rPr>
              <w:t>Aim 4</w:t>
            </w:r>
          </w:p>
        </w:tc>
        <w:tc>
          <w:tcPr>
            <w:tcW w:type="dxa" w:w="2556"/>
            <w:vAlign w:val="center"/>
          </w:tcPr>
          <w:p>
            <w:pPr>
              <w:jc w:val="left"/>
            </w:pPr>
            <w:r/>
            <w:r>
              <w:rPr>
                <w:rFonts w:ascii="Times New Roman" w:hAnsi="Times New Roman"/>
                <w:b w:val="0"/>
                <w:sz w:val="16"/>
              </w:rPr>
              <w:t>What growth knobs control T_C and PMA?</w:t>
            </w:r>
          </w:p>
        </w:tc>
        <w:tc>
          <w:tcPr>
            <w:tcW w:type="dxa" w:w="2556"/>
            <w:vAlign w:val="center"/>
          </w:tcPr>
          <w:p>
            <w:pPr>
              <w:jc w:val="left"/>
            </w:pPr>
            <w:r/>
            <w:r>
              <w:rPr>
                <w:rFonts w:ascii="Times New Roman" w:hAnsi="Times New Roman"/>
                <w:b w:val="0"/>
                <w:sz w:val="16"/>
              </w:rPr>
              <w:t>DFT+SOC, process maps, data repository</w:t>
            </w:r>
          </w:p>
        </w:tc>
        <w:tc>
          <w:tcPr>
            <w:tcW w:type="dxa" w:w="2556"/>
            <w:vAlign w:val="center"/>
          </w:tcPr>
          <w:p>
            <w:pPr>
              <w:jc w:val="left"/>
            </w:pPr>
            <w:r/>
            <w:r>
              <w:rPr>
                <w:rFonts w:ascii="Times New Roman" w:hAnsi="Times New Roman"/>
                <w:b w:val="0"/>
                <w:sz w:val="16"/>
              </w:rPr>
              <w:t>Open dataset and predictive growth-property map</w:t>
            </w:r>
          </w:p>
        </w:tc>
      </w:tr>
    </w:tbl>
    <w:p>
      <w:pPr>
        <w:pStyle w:val="SectionHeading"/>
        <w:spacing w:before="200" w:after="80"/>
        <w:shd w:fill="D9EAF7"/>
      </w:pPr>
      <w:r>
        <w:rPr>
          <w:rFonts w:ascii="Times New Roman" w:hAnsi="Times New Roman"/>
          <w:b/>
          <w:color w:val="1F4E79"/>
          <w:sz w:val="26"/>
        </w:rPr>
        <w:t>II. Background and Motivation</w:t>
      </w:r>
    </w:p>
    <w:p>
      <w:pPr>
        <w:pStyle w:val="Body"/>
        <w:spacing w:after="80" w:line="259" w:lineRule="auto"/>
        <w:ind w:firstLine="360"/>
        <w:jc w:val="both"/>
      </w:pPr>
      <w:r>
        <w:rPr>
          <w:rFonts w:ascii="Times New Roman" w:hAnsi="Times New Roman"/>
          <w:sz w:val="21"/>
        </w:rPr>
        <w:t>Atomically thin magnetic crystals have transformed condensed matter physics because they allow spin order, spin transport, band topology, strain, electrostatic gating, and proximity effects to be controlled in a single material platform. The major barrier is temperature: many early two-dimensional ferromagnets exhibit magnetic ordering only at cryogenic temperatures, whereas practical memory, logic, and sensor applications require robust operation above 300 K.</w:t>
      </w:r>
    </w:p>
    <w:p>
      <w:pPr>
        <w:pStyle w:val="Body"/>
        <w:spacing w:after="80" w:line="259" w:lineRule="auto"/>
        <w:ind w:firstLine="360"/>
        <w:jc w:val="both"/>
      </w:pPr>
      <w:r>
        <w:rPr>
          <w:rFonts w:ascii="Times New Roman" w:hAnsi="Times New Roman"/>
          <w:sz w:val="21"/>
        </w:rPr>
        <w:t>The Mermin-Wagner theorem indicates that isotropic two-dimensional Heisenberg systems cannot sustain long-range magnetic order at finite temperature because long-wavelength spin fluctuations destroy spontaneous magnetization. In real materials this restriction can be overcome when magnetic anisotropy creates a spin-wave gap. Therefore, the search for room-temperature 2D ferromagnets is fundamentally a search for materials and heterostructures with strong spin-orbit coupling, robust exchange interaction, controlled defect chemistry, and stable interfaces.</w:t>
      </w:r>
    </w:p>
    <w:p>
      <w:pPr>
        <w:pStyle w:val="Body"/>
        <w:spacing w:after="80" w:line="259" w:lineRule="auto"/>
        <w:ind w:firstLine="360"/>
        <w:jc w:val="both"/>
      </w:pPr>
      <w:r>
        <w:rPr>
          <w:rFonts w:ascii="Times New Roman" w:hAnsi="Times New Roman"/>
          <w:sz w:val="21"/>
        </w:rPr>
        <w:t>Recent progress has changed the field from a cryogenic proof-of-principle area into a materials engineering challenge. Few-layer CrTe₂ grown by MBE has shown ferromagnetism near room temperature; Fe₃GaTe₂ crystals and epitaxial films combine high Curie temperature with strong perpendicular magnetic anisotropy; template-assisted MnS₂ has provided an emerging semiconducting route; and vacancy-engineered MBenes demonstrate that deliberately created vacancies can activate room-temperature magnetic order in air-stable two-dimensional borides.</w:t>
      </w:r>
    </w:p>
    <w:p>
      <w:pPr>
        <w:spacing w:before="120" w:after="40"/>
        <w:jc w:val="center"/>
      </w:pPr>
      <w:r>
        <w:drawing>
          <wp:inline xmlns:a="http://schemas.openxmlformats.org/drawingml/2006/main" xmlns:pic="http://schemas.openxmlformats.org/drawingml/2006/picture">
            <wp:extent cx="5806440" cy="2822219"/>
            <wp:docPr id="1" name="Picture 1"/>
            <wp:cNvGraphicFramePr>
              <a:graphicFrameLocks noChangeAspect="1"/>
            </wp:cNvGraphicFramePr>
            <a:graphic>
              <a:graphicData uri="http://schemas.openxmlformats.org/drawingml/2006/picture">
                <pic:pic>
                  <pic:nvPicPr>
                    <pic:cNvPr id="0" name="figure1_roadmap.png"/>
                    <pic:cNvPicPr/>
                  </pic:nvPicPr>
                  <pic:blipFill>
                    <a:blip r:embed="rId11"/>
                    <a:stretch>
                      <a:fillRect/>
                    </a:stretch>
                  </pic:blipFill>
                  <pic:spPr>
                    <a:xfrm>
                      <a:off x="0" y="0"/>
                      <a:ext cx="5806440" cy="2822219"/>
                    </a:xfrm>
                    <a:prstGeom prst="rect"/>
                  </pic:spPr>
                </pic:pic>
              </a:graphicData>
            </a:graphic>
          </wp:inline>
        </w:drawing>
      </w:r>
    </w:p>
    <w:p>
      <w:pPr>
        <w:spacing w:after="160" w:before="40"/>
        <w:jc w:val="center"/>
      </w:pPr>
      <w:r>
        <w:rPr>
          <w:rFonts w:ascii="Times New Roman" w:hAnsi="Times New Roman"/>
          <w:i/>
          <w:sz w:val="18"/>
        </w:rPr>
        <w:t>Figure 1: Roadmap from cryogenic two-dimensional ferromagnets to room-temperature candidates targeted in this proposal. The dashed line indicates the 300 K device-relevance threshold; values are approximate literature benchmarks used to guide the materials selection strategy.</w:t>
      </w:r>
    </w:p>
    <w:p>
      <w:pPr>
        <w:pStyle w:val="SubsectionHeading"/>
      </w:pPr>
      <w:r>
        <w:rPr>
          <w:rFonts w:ascii="Times New Roman" w:hAnsi="Times New Roman"/>
          <w:b/>
          <w:color w:val="1F4E79"/>
          <w:sz w:val="22"/>
        </w:rPr>
        <w:t>Critical knowledge gaps</w:t>
      </w:r>
    </w:p>
    <w:p>
      <w:pPr>
        <w:pStyle w:val="ListBullet"/>
        <w:spacing w:after="40"/>
        <w:ind w:left="504" w:hanging="259"/>
        <w:jc w:val="both"/>
      </w:pPr>
      <w:r>
        <w:rPr>
          <w:rFonts w:ascii="Times New Roman" w:hAnsi="Times New Roman"/>
          <w:sz w:val="20"/>
        </w:rPr>
        <w:t>Scalability: many high-performance 2D magnetic materials are still measured on exfoliated flakes or localized regions; wafer-scale synthesis with uniform stoichiometry, phase purity, and roughness remains a central challenge.</w:t>
      </w:r>
    </w:p>
    <w:p>
      <w:pPr>
        <w:pStyle w:val="ListBullet"/>
        <w:spacing w:after="40"/>
        <w:ind w:left="504" w:hanging="259"/>
        <w:jc w:val="both"/>
      </w:pPr>
      <w:r>
        <w:rPr>
          <w:rFonts w:ascii="Times New Roman" w:hAnsi="Times New Roman"/>
          <w:sz w:val="20"/>
        </w:rPr>
        <w:t>Reproducibility: small changes in growth temperature, flux ratio, substrate termination, and post-growth exposure can produce different phases or extrinsic magnetic signals.</w:t>
      </w:r>
    </w:p>
    <w:p>
      <w:pPr>
        <w:pStyle w:val="ListBullet"/>
        <w:spacing w:after="40"/>
        <w:ind w:left="504" w:hanging="259"/>
        <w:jc w:val="both"/>
      </w:pPr>
      <w:r>
        <w:rPr>
          <w:rFonts w:ascii="Times New Roman" w:hAnsi="Times New Roman"/>
          <w:sz w:val="20"/>
        </w:rPr>
        <w:t>Intrinsic verification: sub-nanometer films require multiple cross-checks because substrate moments, interfacial reactions, magnetic contamination, and oxidation can mimic weak ferromagnetism.</w:t>
      </w:r>
    </w:p>
    <w:p>
      <w:pPr>
        <w:pStyle w:val="ListBullet"/>
        <w:spacing w:after="40"/>
        <w:ind w:left="504" w:hanging="259"/>
        <w:jc w:val="both"/>
      </w:pPr>
      <w:r>
        <w:rPr>
          <w:rFonts w:ascii="Times New Roman" w:hAnsi="Times New Roman"/>
          <w:sz w:val="20"/>
        </w:rPr>
        <w:t>Device integration: spin injection, tunnel barrier control, current-induced switching, and thermal stability remain insufficiently benchmarked at 300 K and above.</w:t>
      </w:r>
    </w:p>
    <w:p>
      <w:pPr>
        <w:pStyle w:val="SectionHeading"/>
        <w:spacing w:before="200" w:after="80"/>
        <w:shd w:fill="D9EAF7"/>
      </w:pPr>
      <w:r>
        <w:rPr>
          <w:rFonts w:ascii="Times New Roman" w:hAnsi="Times New Roman"/>
          <w:b/>
          <w:color w:val="1F4E79"/>
          <w:sz w:val="26"/>
        </w:rPr>
        <w:t>III. Strategy and Significance</w:t>
      </w:r>
    </w:p>
    <w:p>
      <w:pPr>
        <w:pStyle w:val="Body"/>
        <w:spacing w:after="80" w:line="259" w:lineRule="auto"/>
        <w:ind w:firstLine="360"/>
        <w:jc w:val="both"/>
      </w:pPr>
      <w:r>
        <w:rPr>
          <w:rFonts w:ascii="Times New Roman" w:hAnsi="Times New Roman"/>
          <w:sz w:val="21"/>
        </w:rPr>
        <w:t>The proposed strategy follows the logic of the 2021 proposal example: start from a scientifically important bottleneck, choose materials with complementary functions, integrate them through controllable synthesis routes, and verify performance using a direct mechanistic workflow. Here, the bottleneck is the stabilization of room-temperature ferromagnetism in atomically thin, process-compatible materials. The key design principles are summarized below.</w:t>
      </w:r>
    </w:p>
    <w:p>
      <w:pPr>
        <w:pStyle w:val="ListBullet"/>
        <w:spacing w:after="40"/>
        <w:ind w:left="504" w:hanging="259"/>
        <w:jc w:val="both"/>
      </w:pPr>
      <w:r>
        <w:rPr>
          <w:rFonts w:ascii="Times New Roman" w:hAnsi="Times New Roman"/>
          <w:sz w:val="20"/>
        </w:rPr>
        <w:t>Strong magnetic anisotropy: heavy elements and spin-orbit coupling provide perpendicular magnetic anisotropy that suppresses thermally activated spin fluctuations.</w:t>
      </w:r>
    </w:p>
    <w:p>
      <w:pPr>
        <w:pStyle w:val="ListBullet"/>
        <w:spacing w:after="40"/>
        <w:ind w:left="504" w:hanging="259"/>
        <w:jc w:val="both"/>
      </w:pPr>
      <w:r>
        <w:rPr>
          <w:rFonts w:ascii="Times New Roman" w:hAnsi="Times New Roman"/>
          <w:sz w:val="20"/>
        </w:rPr>
        <w:t>Itinerant exchange and high moment density: Fe-rich tellurides such as Fe₃GaTe₂ and Fe₅₋xGeTe₂ provide large magnetic moments and metallic transport for Hall and SOT devices.</w:t>
      </w:r>
    </w:p>
    <w:p>
      <w:pPr>
        <w:pStyle w:val="ListBullet"/>
        <w:spacing w:after="40"/>
        <w:ind w:left="504" w:hanging="259"/>
        <w:jc w:val="both"/>
      </w:pPr>
      <w:r>
        <w:rPr>
          <w:rFonts w:ascii="Times New Roman" w:hAnsi="Times New Roman"/>
          <w:sz w:val="20"/>
        </w:rPr>
        <w:t>Semiconducting functionality: MnS₂/ReS₂ and related group-VI chalcogenide candidates offer a path toward magnetic semiconductors compatible with logic and optoelectronic architectures.</w:t>
      </w:r>
    </w:p>
    <w:p>
      <w:pPr>
        <w:pStyle w:val="ListBullet"/>
        <w:spacing w:after="40"/>
        <w:ind w:left="504" w:hanging="259"/>
        <w:jc w:val="both"/>
      </w:pPr>
      <w:r>
        <w:rPr>
          <w:rFonts w:ascii="Times New Roman" w:hAnsi="Times New Roman"/>
          <w:sz w:val="20"/>
        </w:rPr>
        <w:t>Defect and vacancy control: MBenes and chalcogenides allow vacancy concentration to be treated as an intentional variable rather than an uncontrolled defect.</w:t>
      </w:r>
    </w:p>
    <w:p>
      <w:pPr>
        <w:pStyle w:val="ListBullet"/>
        <w:spacing w:after="40"/>
        <w:ind w:left="504" w:hanging="259"/>
        <w:jc w:val="both"/>
      </w:pPr>
      <w:r>
        <w:rPr>
          <w:rFonts w:ascii="Times New Roman" w:hAnsi="Times New Roman"/>
          <w:sz w:val="20"/>
        </w:rPr>
        <w:t>Clean interfaces: h-BN, MoS₂, graphene, and topological insulator layers enable tunable tunnel barriers, spin-current generation, and protection from oxidation.</w:t>
      </w:r>
    </w:p>
    <w:p>
      <w:pPr>
        <w:spacing w:before="120" w:after="40"/>
        <w:jc w:val="center"/>
      </w:pPr>
      <w:r>
        <w:drawing>
          <wp:inline xmlns:a="http://schemas.openxmlformats.org/drawingml/2006/main" xmlns:pic="http://schemas.openxmlformats.org/drawingml/2006/picture">
            <wp:extent cx="5806440" cy="3371351"/>
            <wp:docPr id="2" name="Picture 2"/>
            <wp:cNvGraphicFramePr>
              <a:graphicFrameLocks noChangeAspect="1"/>
            </wp:cNvGraphicFramePr>
            <a:graphic>
              <a:graphicData uri="http://schemas.openxmlformats.org/drawingml/2006/picture">
                <pic:pic>
                  <pic:nvPicPr>
                    <pic:cNvPr id="0" name="figure2_design_principles.png"/>
                    <pic:cNvPicPr/>
                  </pic:nvPicPr>
                  <pic:blipFill>
                    <a:blip r:embed="rId12"/>
                    <a:stretch>
                      <a:fillRect/>
                    </a:stretch>
                  </pic:blipFill>
                  <pic:spPr>
                    <a:xfrm>
                      <a:off x="0" y="0"/>
                      <a:ext cx="5806440" cy="3371351"/>
                    </a:xfrm>
                    <a:prstGeom prst="rect"/>
                  </pic:spPr>
                </pic:pic>
              </a:graphicData>
            </a:graphic>
          </wp:inline>
        </w:drawing>
      </w:r>
    </w:p>
    <w:p>
      <w:pPr>
        <w:spacing w:after="160" w:before="40"/>
        <w:jc w:val="center"/>
      </w:pPr>
      <w:r>
        <w:rPr>
          <w:rFonts w:ascii="Times New Roman" w:hAnsi="Times New Roman"/>
          <w:i/>
          <w:sz w:val="18"/>
        </w:rPr>
        <w:t>Figure 2: Design principle for stabilizing magnetism in the two-dimensional limit. Magnetic anisotropy, strain, defect control, and clean interfaces open a spin-wave gap and increase the probability of stable ferromagnetic order above room temperature.</w:t>
      </w:r>
    </w:p>
    <w:p>
      <w:pPr>
        <w:pStyle w:val="SubsectionHeading"/>
      </w:pPr>
      <w:r>
        <w:rPr>
          <w:rFonts w:ascii="Times New Roman" w:hAnsi="Times New Roman"/>
          <w:b/>
          <w:color w:val="1F4E79"/>
          <w:sz w:val="22"/>
        </w:rPr>
        <w:t>Material platform</w:t>
      </w:r>
    </w:p>
    <w:tbl>
      <w:tblPr>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045"/>
        <w:gridCol w:w="2045"/>
        <w:gridCol w:w="2045"/>
        <w:gridCol w:w="2045"/>
        <w:gridCol w:w="2045"/>
      </w:tblGrid>
      <w:tr>
        <w:tc>
          <w:tcPr>
            <w:tcW w:type="dxa" w:w="2045"/>
            <w:vAlign w:val="center"/>
            <w:shd w:fill="1F4E79"/>
          </w:tcPr>
          <w:p>
            <w:pPr>
              <w:jc w:val="center"/>
            </w:pPr>
            <w:r/>
            <w:r>
              <w:rPr>
                <w:rFonts w:ascii="Times New Roman" w:hAnsi="Times New Roman"/>
                <w:b/>
                <w:color w:val="FFFFFF"/>
                <w:sz w:val="16"/>
              </w:rPr>
              <w:t>Material family</w:t>
            </w:r>
          </w:p>
        </w:tc>
        <w:tc>
          <w:tcPr>
            <w:tcW w:type="dxa" w:w="2045"/>
            <w:vAlign w:val="center"/>
            <w:shd w:fill="1F4E79"/>
          </w:tcPr>
          <w:p>
            <w:pPr>
              <w:jc w:val="center"/>
            </w:pPr>
            <w:r/>
            <w:r>
              <w:rPr>
                <w:rFonts w:ascii="Times New Roman" w:hAnsi="Times New Roman"/>
                <w:b/>
                <w:color w:val="FFFFFF"/>
                <w:sz w:val="16"/>
              </w:rPr>
              <w:t>Reason for selection</w:t>
            </w:r>
          </w:p>
        </w:tc>
        <w:tc>
          <w:tcPr>
            <w:tcW w:type="dxa" w:w="2045"/>
            <w:vAlign w:val="center"/>
            <w:shd w:fill="1F4E79"/>
          </w:tcPr>
          <w:p>
            <w:pPr>
              <w:jc w:val="center"/>
            </w:pPr>
            <w:r/>
            <w:r>
              <w:rPr>
                <w:rFonts w:ascii="Times New Roman" w:hAnsi="Times New Roman"/>
                <w:b/>
                <w:color w:val="FFFFFF"/>
                <w:sz w:val="16"/>
              </w:rPr>
              <w:t>Main growth route</w:t>
            </w:r>
          </w:p>
        </w:tc>
        <w:tc>
          <w:tcPr>
            <w:tcW w:type="dxa" w:w="2045"/>
            <w:vAlign w:val="center"/>
            <w:shd w:fill="1F4E79"/>
          </w:tcPr>
          <w:p>
            <w:pPr>
              <w:jc w:val="center"/>
            </w:pPr>
            <w:r/>
            <w:r>
              <w:rPr>
                <w:rFonts w:ascii="Times New Roman" w:hAnsi="Times New Roman"/>
                <w:b/>
                <w:color w:val="FFFFFF"/>
                <w:sz w:val="16"/>
              </w:rPr>
              <w:t>Main risk</w:t>
            </w:r>
          </w:p>
        </w:tc>
        <w:tc>
          <w:tcPr>
            <w:tcW w:type="dxa" w:w="2045"/>
            <w:vAlign w:val="center"/>
            <w:shd w:fill="1F4E79"/>
          </w:tcPr>
          <w:p>
            <w:pPr>
              <w:jc w:val="center"/>
            </w:pPr>
            <w:r/>
            <w:r>
              <w:rPr>
                <w:rFonts w:ascii="Times New Roman" w:hAnsi="Times New Roman"/>
                <w:b/>
                <w:color w:val="FFFFFF"/>
                <w:sz w:val="16"/>
              </w:rPr>
              <w:t>Mitigation</w:t>
            </w:r>
          </w:p>
        </w:tc>
      </w:tr>
      <w:tr>
        <w:tc>
          <w:tcPr>
            <w:tcW w:type="dxa" w:w="2045"/>
            <w:vAlign w:val="center"/>
          </w:tcPr>
          <w:p>
            <w:pPr>
              <w:jc w:val="left"/>
            </w:pPr>
            <w:r/>
            <w:r>
              <w:rPr>
                <w:rFonts w:ascii="Times New Roman" w:hAnsi="Times New Roman"/>
                <w:b w:val="0"/>
                <w:sz w:val="14"/>
              </w:rPr>
              <w:t>CrTe₂</w:t>
            </w:r>
          </w:p>
        </w:tc>
        <w:tc>
          <w:tcPr>
            <w:tcW w:type="dxa" w:w="2045"/>
            <w:vAlign w:val="center"/>
          </w:tcPr>
          <w:p>
            <w:pPr>
              <w:jc w:val="left"/>
            </w:pPr>
            <w:r/>
            <w:r>
              <w:rPr>
                <w:rFonts w:ascii="Times New Roman" w:hAnsi="Times New Roman"/>
                <w:b w:val="0"/>
                <w:sz w:val="14"/>
              </w:rPr>
              <w:t>Benchmark MBE-grown vdW ferromagnet near room temperature</w:t>
            </w:r>
          </w:p>
        </w:tc>
        <w:tc>
          <w:tcPr>
            <w:tcW w:type="dxa" w:w="2045"/>
            <w:vAlign w:val="center"/>
          </w:tcPr>
          <w:p>
            <w:pPr>
              <w:jc w:val="left"/>
            </w:pPr>
            <w:r/>
            <w:r>
              <w:rPr>
                <w:rFonts w:ascii="Times New Roman" w:hAnsi="Times New Roman"/>
                <w:b w:val="0"/>
                <w:sz w:val="14"/>
              </w:rPr>
              <w:t>MBE on graphene/SiC and HOPG</w:t>
            </w:r>
          </w:p>
        </w:tc>
        <w:tc>
          <w:tcPr>
            <w:tcW w:type="dxa" w:w="2045"/>
            <w:vAlign w:val="center"/>
          </w:tcPr>
          <w:p>
            <w:pPr>
              <w:jc w:val="left"/>
            </w:pPr>
            <w:r/>
            <w:r>
              <w:rPr>
                <w:rFonts w:ascii="Times New Roman" w:hAnsi="Times New Roman"/>
                <w:b w:val="0"/>
                <w:sz w:val="14"/>
              </w:rPr>
              <w:t>Te volatility, phase control</w:t>
            </w:r>
          </w:p>
        </w:tc>
        <w:tc>
          <w:tcPr>
            <w:tcW w:type="dxa" w:w="2045"/>
            <w:vAlign w:val="center"/>
          </w:tcPr>
          <w:p>
            <w:pPr>
              <w:jc w:val="left"/>
            </w:pPr>
            <w:r/>
            <w:r>
              <w:rPr>
                <w:rFonts w:ascii="Times New Roman" w:hAnsi="Times New Roman"/>
                <w:b w:val="0"/>
                <w:sz w:val="14"/>
              </w:rPr>
              <w:t>Te-rich calibration and in-situ RHEED</w:t>
            </w:r>
          </w:p>
        </w:tc>
      </w:tr>
      <w:tr>
        <w:tc>
          <w:tcPr>
            <w:tcW w:type="dxa" w:w="2045"/>
            <w:vAlign w:val="center"/>
          </w:tcPr>
          <w:p>
            <w:pPr>
              <w:jc w:val="left"/>
            </w:pPr>
            <w:r/>
            <w:r>
              <w:rPr>
                <w:rFonts w:ascii="Times New Roman" w:hAnsi="Times New Roman"/>
                <w:b w:val="0"/>
                <w:sz w:val="14"/>
              </w:rPr>
              <w:t>Fe₃GaTe₂</w:t>
            </w:r>
          </w:p>
        </w:tc>
        <w:tc>
          <w:tcPr>
            <w:tcW w:type="dxa" w:w="2045"/>
            <w:vAlign w:val="center"/>
          </w:tcPr>
          <w:p>
            <w:pPr>
              <w:jc w:val="left"/>
            </w:pPr>
            <w:r/>
            <w:r>
              <w:rPr>
                <w:rFonts w:ascii="Times New Roman" w:hAnsi="Times New Roman"/>
                <w:b w:val="0"/>
                <w:sz w:val="14"/>
              </w:rPr>
              <w:t>High T_C and large PMA; device-ready metallic ferromagnet</w:t>
            </w:r>
          </w:p>
        </w:tc>
        <w:tc>
          <w:tcPr>
            <w:tcW w:type="dxa" w:w="2045"/>
            <w:vAlign w:val="center"/>
          </w:tcPr>
          <w:p>
            <w:pPr>
              <w:jc w:val="left"/>
            </w:pPr>
            <w:r/>
            <w:r>
              <w:rPr>
                <w:rFonts w:ascii="Times New Roman" w:hAnsi="Times New Roman"/>
                <w:b w:val="0"/>
                <w:sz w:val="14"/>
              </w:rPr>
              <w:t>MBE / flux-growth benchmark</w:t>
            </w:r>
          </w:p>
        </w:tc>
        <w:tc>
          <w:tcPr>
            <w:tcW w:type="dxa" w:w="2045"/>
            <w:vAlign w:val="center"/>
          </w:tcPr>
          <w:p>
            <w:pPr>
              <w:jc w:val="left"/>
            </w:pPr>
            <w:r/>
            <w:r>
              <w:rPr>
                <w:rFonts w:ascii="Times New Roman" w:hAnsi="Times New Roman"/>
                <w:b w:val="0"/>
                <w:sz w:val="14"/>
              </w:rPr>
              <w:t>Ga/Fe stoichiometry window</w:t>
            </w:r>
          </w:p>
        </w:tc>
        <w:tc>
          <w:tcPr>
            <w:tcW w:type="dxa" w:w="2045"/>
            <w:vAlign w:val="center"/>
          </w:tcPr>
          <w:p>
            <w:pPr>
              <w:jc w:val="left"/>
            </w:pPr>
            <w:r/>
            <w:r>
              <w:rPr>
                <w:rFonts w:ascii="Times New Roman" w:hAnsi="Times New Roman"/>
                <w:b w:val="0"/>
                <w:sz w:val="14"/>
              </w:rPr>
              <w:t>RBS/XPS feedback and anneal map</w:t>
            </w:r>
          </w:p>
        </w:tc>
      </w:tr>
      <w:tr>
        <w:tc>
          <w:tcPr>
            <w:tcW w:type="dxa" w:w="2045"/>
            <w:vAlign w:val="center"/>
          </w:tcPr>
          <w:p>
            <w:pPr>
              <w:jc w:val="left"/>
            </w:pPr>
            <w:r/>
            <w:r>
              <w:rPr>
                <w:rFonts w:ascii="Times New Roman" w:hAnsi="Times New Roman"/>
                <w:b w:val="0"/>
                <w:sz w:val="14"/>
              </w:rPr>
              <w:t>MnS₂/ReS₂</w:t>
            </w:r>
          </w:p>
        </w:tc>
        <w:tc>
          <w:tcPr>
            <w:tcW w:type="dxa" w:w="2045"/>
            <w:vAlign w:val="center"/>
          </w:tcPr>
          <w:p>
            <w:pPr>
              <w:jc w:val="left"/>
            </w:pPr>
            <w:r/>
            <w:r>
              <w:rPr>
                <w:rFonts w:ascii="Times New Roman" w:hAnsi="Times New Roman"/>
                <w:b w:val="0"/>
                <w:sz w:val="14"/>
              </w:rPr>
              <w:t>Semiconducting room-temperature candidate</w:t>
            </w:r>
          </w:p>
        </w:tc>
        <w:tc>
          <w:tcPr>
            <w:tcW w:type="dxa" w:w="2045"/>
            <w:vAlign w:val="center"/>
          </w:tcPr>
          <w:p>
            <w:pPr>
              <w:jc w:val="left"/>
            </w:pPr>
            <w:r/>
            <w:r>
              <w:rPr>
                <w:rFonts w:ascii="Times New Roman" w:hAnsi="Times New Roman"/>
                <w:b w:val="0"/>
                <w:sz w:val="14"/>
              </w:rPr>
              <w:t>Template-assisted CVD</w:t>
            </w:r>
          </w:p>
        </w:tc>
        <w:tc>
          <w:tcPr>
            <w:tcW w:type="dxa" w:w="2045"/>
            <w:vAlign w:val="center"/>
          </w:tcPr>
          <w:p>
            <w:pPr>
              <w:jc w:val="left"/>
            </w:pPr>
            <w:r/>
            <w:r>
              <w:rPr>
                <w:rFonts w:ascii="Times New Roman" w:hAnsi="Times New Roman"/>
                <w:b w:val="0"/>
                <w:sz w:val="14"/>
              </w:rPr>
              <w:t>Phase stability and domain size</w:t>
            </w:r>
          </w:p>
        </w:tc>
        <w:tc>
          <w:tcPr>
            <w:tcW w:type="dxa" w:w="2045"/>
            <w:vAlign w:val="center"/>
          </w:tcPr>
          <w:p>
            <w:pPr>
              <w:jc w:val="left"/>
            </w:pPr>
            <w:r/>
            <w:r>
              <w:rPr>
                <w:rFonts w:ascii="Times New Roman" w:hAnsi="Times New Roman"/>
                <w:b w:val="0"/>
                <w:sz w:val="14"/>
              </w:rPr>
              <w:t>ReS₂ matrix templating and rapid QD-AFM screening</w:t>
            </w:r>
          </w:p>
        </w:tc>
      </w:tr>
      <w:tr>
        <w:tc>
          <w:tcPr>
            <w:tcW w:type="dxa" w:w="2045"/>
            <w:vAlign w:val="center"/>
          </w:tcPr>
          <w:p>
            <w:pPr>
              <w:jc w:val="left"/>
            </w:pPr>
            <w:r/>
            <w:r>
              <w:rPr>
                <w:rFonts w:ascii="Times New Roman" w:hAnsi="Times New Roman"/>
                <w:b w:val="0"/>
                <w:sz w:val="14"/>
              </w:rPr>
              <w:t>Mo₄/₃B₂ MBene</w:t>
            </w:r>
          </w:p>
        </w:tc>
        <w:tc>
          <w:tcPr>
            <w:tcW w:type="dxa" w:w="2045"/>
            <w:vAlign w:val="center"/>
          </w:tcPr>
          <w:p>
            <w:pPr>
              <w:jc w:val="left"/>
            </w:pPr>
            <w:r/>
            <w:r>
              <w:rPr>
                <w:rFonts w:ascii="Times New Roman" w:hAnsi="Times New Roman"/>
                <w:b w:val="0"/>
                <w:sz w:val="14"/>
              </w:rPr>
              <w:t>Vacancy-engineered air-stable magnetism</w:t>
            </w:r>
          </w:p>
        </w:tc>
        <w:tc>
          <w:tcPr>
            <w:tcW w:type="dxa" w:w="2045"/>
            <w:vAlign w:val="center"/>
          </w:tcPr>
          <w:p>
            <w:pPr>
              <w:jc w:val="left"/>
            </w:pPr>
            <w:r/>
            <w:r>
              <w:rPr>
                <w:rFonts w:ascii="Times New Roman" w:hAnsi="Times New Roman"/>
                <w:b w:val="0"/>
                <w:sz w:val="14"/>
              </w:rPr>
              <w:t>Molten-salt etching and vacancy tuning</w:t>
            </w:r>
          </w:p>
        </w:tc>
        <w:tc>
          <w:tcPr>
            <w:tcW w:type="dxa" w:w="2045"/>
            <w:vAlign w:val="center"/>
          </w:tcPr>
          <w:p>
            <w:pPr>
              <w:jc w:val="left"/>
            </w:pPr>
            <w:r/>
            <w:r>
              <w:rPr>
                <w:rFonts w:ascii="Times New Roman" w:hAnsi="Times New Roman"/>
                <w:b w:val="0"/>
                <w:sz w:val="14"/>
              </w:rPr>
              <w:t>Vacancy reproducibility</w:t>
            </w:r>
          </w:p>
        </w:tc>
        <w:tc>
          <w:tcPr>
            <w:tcW w:type="dxa" w:w="2045"/>
            <w:vAlign w:val="center"/>
          </w:tcPr>
          <w:p>
            <w:pPr>
              <w:jc w:val="left"/>
            </w:pPr>
            <w:r/>
            <w:r>
              <w:rPr>
                <w:rFonts w:ascii="Times New Roman" w:hAnsi="Times New Roman"/>
                <w:b w:val="0"/>
                <w:sz w:val="14"/>
              </w:rPr>
              <w:t>Chemical titration + XPS/XMCD correlation</w:t>
            </w:r>
          </w:p>
        </w:tc>
      </w:tr>
      <w:tr>
        <w:tc>
          <w:tcPr>
            <w:tcW w:type="dxa" w:w="2045"/>
            <w:vAlign w:val="center"/>
          </w:tcPr>
          <w:p>
            <w:pPr>
              <w:jc w:val="left"/>
            </w:pPr>
            <w:r/>
            <w:r>
              <w:rPr>
                <w:rFonts w:ascii="Times New Roman" w:hAnsi="Times New Roman"/>
                <w:b w:val="0"/>
                <w:sz w:val="14"/>
              </w:rPr>
              <w:t>Fe₅₋xGeTe₂</w:t>
            </w:r>
          </w:p>
        </w:tc>
        <w:tc>
          <w:tcPr>
            <w:tcW w:type="dxa" w:w="2045"/>
            <w:vAlign w:val="center"/>
          </w:tcPr>
          <w:p>
            <w:pPr>
              <w:jc w:val="left"/>
            </w:pPr>
            <w:r/>
            <w:r>
              <w:rPr>
                <w:rFonts w:ascii="Times New Roman" w:hAnsi="Times New Roman"/>
                <w:b w:val="0"/>
                <w:sz w:val="14"/>
              </w:rPr>
              <w:t>Scalable vdW ferromagnetic heterostructure candidate</w:t>
            </w:r>
          </w:p>
        </w:tc>
        <w:tc>
          <w:tcPr>
            <w:tcW w:type="dxa" w:w="2045"/>
            <w:vAlign w:val="center"/>
          </w:tcPr>
          <w:p>
            <w:pPr>
              <w:jc w:val="left"/>
            </w:pPr>
            <w:r/>
            <w:r>
              <w:rPr>
                <w:rFonts w:ascii="Times New Roman" w:hAnsi="Times New Roman"/>
                <w:b w:val="0"/>
                <w:sz w:val="14"/>
              </w:rPr>
              <w:t>vdW epitaxy on graphene</w:t>
            </w:r>
          </w:p>
        </w:tc>
        <w:tc>
          <w:tcPr>
            <w:tcW w:type="dxa" w:w="2045"/>
            <w:vAlign w:val="center"/>
          </w:tcPr>
          <w:p>
            <w:pPr>
              <w:jc w:val="left"/>
            </w:pPr>
            <w:r/>
            <w:r>
              <w:rPr>
                <w:rFonts w:ascii="Times New Roman" w:hAnsi="Times New Roman"/>
                <w:b w:val="0"/>
                <w:sz w:val="14"/>
              </w:rPr>
              <w:t>Off-stoichiometry and roughness</w:t>
            </w:r>
          </w:p>
        </w:tc>
        <w:tc>
          <w:tcPr>
            <w:tcW w:type="dxa" w:w="2045"/>
            <w:vAlign w:val="center"/>
          </w:tcPr>
          <w:p>
            <w:pPr>
              <w:jc w:val="left"/>
            </w:pPr>
            <w:r/>
            <w:r>
              <w:rPr>
                <w:rFonts w:ascii="Times New Roman" w:hAnsi="Times New Roman"/>
                <w:b w:val="0"/>
                <w:sz w:val="14"/>
              </w:rPr>
              <w:t>Flux ratio sweep and STEM verification</w:t>
            </w:r>
          </w:p>
        </w:tc>
      </w:tr>
    </w:tbl>
    <w:p>
      <w:pPr>
        <w:spacing w:before="120" w:after="40"/>
        <w:jc w:val="center"/>
      </w:pPr>
      <w:r>
        <w:drawing>
          <wp:inline xmlns:a="http://schemas.openxmlformats.org/drawingml/2006/main" xmlns:pic="http://schemas.openxmlformats.org/drawingml/2006/picture">
            <wp:extent cx="5806440" cy="3015693"/>
            <wp:docPr id="3" name="Picture 3"/>
            <wp:cNvGraphicFramePr>
              <a:graphicFrameLocks noChangeAspect="1"/>
            </wp:cNvGraphicFramePr>
            <a:graphic>
              <a:graphicData uri="http://schemas.openxmlformats.org/drawingml/2006/picture">
                <pic:pic>
                  <pic:nvPicPr>
                    <pic:cNvPr id="0" name="figure3_synthesis_routes.png"/>
                    <pic:cNvPicPr/>
                  </pic:nvPicPr>
                  <pic:blipFill>
                    <a:blip r:embed="rId13"/>
                    <a:stretch>
                      <a:fillRect/>
                    </a:stretch>
                  </pic:blipFill>
                  <pic:spPr>
                    <a:xfrm>
                      <a:off x="0" y="0"/>
                      <a:ext cx="5806440" cy="3015693"/>
                    </a:xfrm>
                    <a:prstGeom prst="rect"/>
                  </pic:spPr>
                </pic:pic>
              </a:graphicData>
            </a:graphic>
          </wp:inline>
        </w:drawing>
      </w:r>
    </w:p>
    <w:p>
      <w:pPr>
        <w:spacing w:after="160" w:before="40"/>
        <w:jc w:val="center"/>
      </w:pPr>
      <w:r>
        <w:rPr>
          <w:rFonts w:ascii="Times New Roman" w:hAnsi="Times New Roman"/>
          <w:i/>
          <w:sz w:val="18"/>
        </w:rPr>
        <w:t>Figure 3: Proposed synthesis routes. MBE, template-assisted CVD, vacancy engineering, and van der Waals stacking are treated as complementary routes to the same target: stable 2D ferromagnetic films and heterostructures with room-temperature functionality.</w:t>
      </w:r>
    </w:p>
    <w:p>
      <w:pPr>
        <w:pStyle w:val="SectionHeading"/>
        <w:spacing w:before="200" w:after="80"/>
        <w:shd w:fill="D9EAF7"/>
      </w:pPr>
      <w:r>
        <w:rPr>
          <w:rFonts w:ascii="Times New Roman" w:hAnsi="Times New Roman"/>
          <w:b/>
          <w:color w:val="1F4E79"/>
          <w:sz w:val="26"/>
        </w:rPr>
        <w:t>IV. Research Approach</w:t>
      </w:r>
    </w:p>
    <w:p>
      <w:pPr>
        <w:pStyle w:val="SubsectionHeading"/>
      </w:pPr>
      <w:r>
        <w:rPr>
          <w:rFonts w:ascii="Times New Roman" w:hAnsi="Times New Roman"/>
          <w:b/>
          <w:color w:val="1F4E79"/>
          <w:sz w:val="22"/>
        </w:rPr>
        <w:t>A. Molecular beam epitaxy and epitaxial benchmarks</w:t>
      </w:r>
    </w:p>
    <w:p>
      <w:pPr>
        <w:pStyle w:val="Body"/>
        <w:spacing w:after="80" w:line="259" w:lineRule="auto"/>
        <w:ind w:firstLine="360"/>
        <w:jc w:val="both"/>
      </w:pPr>
      <w:r>
        <w:rPr>
          <w:rFonts w:ascii="Times New Roman" w:hAnsi="Times New Roman"/>
          <w:sz w:val="21"/>
        </w:rPr>
        <w:t>CrTe₂ and Fe₃GaTe₂ will be grown by ultra-high-vacuum MBE on epitaxial graphene/SiC(0001), HOPG, and selected oxide substrates. The RHEED pattern will be recorded continuously to identify layer-by-layer growth, phase transitions, and surface reconstruction. Elemental flux ratios will be calibrated by quartz crystal microbalance and checked post-growth by RBS and XPS. Growth maps will sweep substrate temperature, flux ratio, deposition rate, and post-growth annealing to establish reproducible windows for continuous films.</w:t>
      </w:r>
    </w:p>
    <w:p>
      <w:pPr>
        <w:pStyle w:val="SubsectionHeading"/>
      </w:pPr>
      <w:r>
        <w:rPr>
          <w:rFonts w:ascii="Times New Roman" w:hAnsi="Times New Roman"/>
          <w:b/>
          <w:color w:val="1F4E79"/>
          <w:sz w:val="22"/>
        </w:rPr>
        <w:t>B. Template-assisted CVD of semiconducting 2D ferromagnets</w:t>
      </w:r>
    </w:p>
    <w:p>
      <w:pPr>
        <w:pStyle w:val="Body"/>
        <w:spacing w:after="80" w:line="259" w:lineRule="auto"/>
        <w:ind w:firstLine="360"/>
        <w:jc w:val="both"/>
      </w:pPr>
      <w:r>
        <w:rPr>
          <w:rFonts w:ascii="Times New Roman" w:hAnsi="Times New Roman"/>
          <w:sz w:val="21"/>
        </w:rPr>
        <w:t>MnS₂ will be explored using a template-assisted CVD approach in which ReS₂ provides structural guidance for a distorted T-phase-like layer. The growth parameters will include Mn precursor temperature, sulfurization temperature, carrier-gas flow, substrate pre-treatment, and cooling rate. The central objective is to preserve semiconducting character while demonstrating repeatable magnetic order at room temperature.</w:t>
      </w:r>
    </w:p>
    <w:p>
      <w:pPr>
        <w:pStyle w:val="SubsectionHeading"/>
      </w:pPr>
      <w:r>
        <w:rPr>
          <w:rFonts w:ascii="Times New Roman" w:hAnsi="Times New Roman"/>
          <w:b/>
          <w:color w:val="1F4E79"/>
          <w:sz w:val="22"/>
        </w:rPr>
        <w:t>C. Vacancy-engineered MBenes and defect-controlled magnetism</w:t>
      </w:r>
    </w:p>
    <w:p>
      <w:pPr>
        <w:pStyle w:val="Body"/>
        <w:spacing w:after="80" w:line="259" w:lineRule="auto"/>
        <w:ind w:firstLine="360"/>
        <w:jc w:val="both"/>
      </w:pPr>
      <w:r>
        <w:rPr>
          <w:rFonts w:ascii="Times New Roman" w:hAnsi="Times New Roman"/>
          <w:sz w:val="21"/>
        </w:rPr>
        <w:t>Mo₄/₃B₂-based MBenes will be synthesized through molten-salt etching of layered MAB precursors and post-synthesis vacancy tuning. Vacancy density will be quantified using XPS, EDS, electron microscopy, and, where available, positron annihilation or complementary defect probes. Magnetic measurements will be correlated directly with vacancy concentration to avoid over-attributing magnetism to uncontrolled impurities.</w:t>
      </w:r>
    </w:p>
    <w:p>
      <w:pPr>
        <w:pStyle w:val="SubsectionHeading"/>
      </w:pPr>
      <w:r>
        <w:rPr>
          <w:rFonts w:ascii="Times New Roman" w:hAnsi="Times New Roman"/>
          <w:b/>
          <w:color w:val="1F4E79"/>
          <w:sz w:val="22"/>
        </w:rPr>
        <w:t>D. Structural, chemical, and magnetic characterization</w:t>
      </w:r>
    </w:p>
    <w:p>
      <w:pPr>
        <w:pStyle w:val="Body"/>
        <w:spacing w:after="80" w:line="259" w:lineRule="auto"/>
        <w:ind w:firstLine="360"/>
        <w:jc w:val="both"/>
      </w:pPr>
      <w:r>
        <w:rPr>
          <w:rFonts w:ascii="Times New Roman" w:hAnsi="Times New Roman"/>
          <w:sz w:val="21"/>
        </w:rPr>
        <w:t>Atomic-resolution STEM will confirm phase, layer thickness, edge structure, and site occupancy. XRD, SAED, and AFM will verify epitaxy, crystalline orientation, and film roughness. XPS and RBS will quantify stoichiometry and oxidation. SQUID and MOKE will provide temperature- and field-dependent magnetometry; MFM and QD-AFM will image domains; and XMCD will provide element-selective magnetic moments. Only samples that pass the complete cross-check protocol will be advanced to device fabrication.</w:t>
      </w:r>
    </w:p>
    <w:p>
      <w:pPr>
        <w:spacing w:before="120" w:after="40"/>
        <w:jc w:val="center"/>
      </w:pPr>
      <w:r>
        <w:drawing>
          <wp:inline xmlns:a="http://schemas.openxmlformats.org/drawingml/2006/main" xmlns:pic="http://schemas.openxmlformats.org/drawingml/2006/picture">
            <wp:extent cx="5806440" cy="2578932"/>
            <wp:docPr id="4" name="Picture 4"/>
            <wp:cNvGraphicFramePr>
              <a:graphicFrameLocks noChangeAspect="1"/>
            </wp:cNvGraphicFramePr>
            <a:graphic>
              <a:graphicData uri="http://schemas.openxmlformats.org/drawingml/2006/picture">
                <pic:pic>
                  <pic:nvPicPr>
                    <pic:cNvPr id="0" name="figure4_characterization_workflow.png"/>
                    <pic:cNvPicPr/>
                  </pic:nvPicPr>
                  <pic:blipFill>
                    <a:blip r:embed="rId14"/>
                    <a:stretch>
                      <a:fillRect/>
                    </a:stretch>
                  </pic:blipFill>
                  <pic:spPr>
                    <a:xfrm>
                      <a:off x="0" y="0"/>
                      <a:ext cx="5806440" cy="2578932"/>
                    </a:xfrm>
                    <a:prstGeom prst="rect"/>
                  </pic:spPr>
                </pic:pic>
              </a:graphicData>
            </a:graphic>
          </wp:inline>
        </w:drawing>
      </w:r>
    </w:p>
    <w:p>
      <w:pPr>
        <w:spacing w:after="160" w:before="40"/>
        <w:jc w:val="center"/>
      </w:pPr>
      <w:r>
        <w:rPr>
          <w:rFonts w:ascii="Times New Roman" w:hAnsi="Times New Roman"/>
          <w:i/>
          <w:sz w:val="18"/>
        </w:rPr>
        <w:t>Figure 4: Characterization workflow designed to prevent false-positive assignment of intrinsic ferromagnetism. Each candidate material must pass structural, chemical, magnetic, electronic, and device-level checks before being used for mechanism or device claims.</w:t>
      </w:r>
    </w:p>
    <w:p>
      <w:pPr>
        <w:pStyle w:val="SubsectionHeading"/>
      </w:pPr>
      <w:r>
        <w:rPr>
          <w:rFonts w:ascii="Times New Roman" w:hAnsi="Times New Roman"/>
          <w:b/>
          <w:color w:val="1F4E79"/>
          <w:sz w:val="22"/>
        </w:rPr>
        <w:t>E. Electronic structure and mechanism</w:t>
      </w:r>
    </w:p>
    <w:p>
      <w:pPr>
        <w:pStyle w:val="Body"/>
        <w:spacing w:after="80" w:line="259" w:lineRule="auto"/>
        <w:ind w:firstLine="360"/>
        <w:jc w:val="both"/>
      </w:pPr>
      <w:r>
        <w:rPr>
          <w:rFonts w:ascii="Times New Roman" w:hAnsi="Times New Roman"/>
          <w:sz w:val="21"/>
        </w:rPr>
        <w:t>ARPES will map spin-split bands, Fermi surface topology, and thickness-dependent electronic structure. DFT calculations using PBE+U and spin-orbit coupling will estimate exchange constants, magnetic anisotropy energy, defect formation energy, and strain dependence. The goal is to translate spectroscopy and theory into practical growth rules: which stoichiometry, defect density, strain state, and interface combination maximizes Curie temperature and perpendicular magnetic anisotropy without compromising device quality.</w:t>
      </w:r>
    </w:p>
    <w:p>
      <w:pPr>
        <w:pStyle w:val="SubsectionHeading"/>
      </w:pPr>
      <w:r>
        <w:rPr>
          <w:rFonts w:ascii="Times New Roman" w:hAnsi="Times New Roman"/>
          <w:b/>
          <w:color w:val="1F4E79"/>
          <w:sz w:val="22"/>
        </w:rPr>
        <w:t>F. Device fabrication and measurement</w:t>
      </w:r>
    </w:p>
    <w:p>
      <w:pPr>
        <w:pStyle w:val="Body"/>
        <w:spacing w:after="80" w:line="259" w:lineRule="auto"/>
        <w:ind w:firstLine="360"/>
        <w:jc w:val="both"/>
      </w:pPr>
      <w:r>
        <w:rPr>
          <w:rFonts w:ascii="Times New Roman" w:hAnsi="Times New Roman"/>
          <w:sz w:val="21"/>
        </w:rPr>
        <w:t>Three device classes will be fabricated. First, Hall bar devices will quantify anomalous Hall effect, coercivity, and temperature stability. Second, magnetic tunnel junctions will use h-BN or MoS₂ tunnel barriers to evaluate tunneling magnetoresistance at 300 K. Third, spin-orbit torque devices will integrate topological insulator or heavy spin-orbit layers with 2D ferromagnets to evaluate current-induced switching, write current density, endurance, and retention.</w:t>
      </w:r>
    </w:p>
    <w:p>
      <w:pPr>
        <w:spacing w:before="120" w:after="40"/>
        <w:jc w:val="center"/>
      </w:pPr>
      <w:r>
        <w:drawing>
          <wp:inline xmlns:a="http://schemas.openxmlformats.org/drawingml/2006/main" xmlns:pic="http://schemas.openxmlformats.org/drawingml/2006/picture">
            <wp:extent cx="5806440" cy="3447698"/>
            <wp:docPr id="5" name="Picture 5"/>
            <wp:cNvGraphicFramePr>
              <a:graphicFrameLocks noChangeAspect="1"/>
            </wp:cNvGraphicFramePr>
            <a:graphic>
              <a:graphicData uri="http://schemas.openxmlformats.org/drawingml/2006/picture">
                <pic:pic>
                  <pic:nvPicPr>
                    <pic:cNvPr id="0" name="figure5_device_concepts.png"/>
                    <pic:cNvPicPr/>
                  </pic:nvPicPr>
                  <pic:blipFill>
                    <a:blip r:embed="rId15"/>
                    <a:stretch>
                      <a:fillRect/>
                    </a:stretch>
                  </pic:blipFill>
                  <pic:spPr>
                    <a:xfrm>
                      <a:off x="0" y="0"/>
                      <a:ext cx="5806440" cy="3447698"/>
                    </a:xfrm>
                    <a:prstGeom prst="rect"/>
                  </pic:spPr>
                </pic:pic>
              </a:graphicData>
            </a:graphic>
          </wp:inline>
        </w:drawing>
      </w:r>
    </w:p>
    <w:p>
      <w:pPr>
        <w:spacing w:after="160" w:before="40"/>
        <w:jc w:val="center"/>
      </w:pPr>
      <w:r>
        <w:rPr>
          <w:rFonts w:ascii="Times New Roman" w:hAnsi="Times New Roman"/>
          <w:i/>
          <w:sz w:val="18"/>
        </w:rPr>
        <w:t>Figure 5: Device architectures for room-temperature evaluation. Hall bars establish magnetic transport, MTJs test nonvolatile memory potential, and SOT heterostructures evaluate low-power switching with topological or strong-SOC spin-current layers.</w:t>
      </w:r>
    </w:p>
    <w:p>
      <w:pPr>
        <w:pStyle w:val="SectionHeading"/>
        <w:spacing w:before="200" w:after="80"/>
        <w:shd w:fill="D9EAF7"/>
      </w:pPr>
      <w:r>
        <w:rPr>
          <w:rFonts w:ascii="Times New Roman" w:hAnsi="Times New Roman"/>
          <w:b/>
          <w:color w:val="1F4E79"/>
          <w:sz w:val="26"/>
        </w:rPr>
        <w:t>V. Work Plan, Milestones, and Timeline</w:t>
      </w:r>
    </w:p>
    <w:p>
      <w:pPr>
        <w:pStyle w:val="Body"/>
        <w:spacing w:after="80" w:line="259" w:lineRule="auto"/>
        <w:ind w:firstLine="360"/>
        <w:jc w:val="both"/>
      </w:pPr>
      <w:r>
        <w:rPr>
          <w:rFonts w:ascii="Times New Roman" w:hAnsi="Times New Roman"/>
          <w:sz w:val="21"/>
        </w:rPr>
        <w:t>The three-year work plan is organized to deliver publishable results at each stage while keeping the project resilient to materials risks. Growth studies begin immediately for CrTe₂ and Fe₃GaTe₂ because their literature baselines are strongest. MnS₂/ReS₂ and MBene tasks run in parallel as higher-risk/high-payoff routes. Device integration begins once intrinsic ferromagnetism has been validated by at least two independent magnetic probes.</w:t>
      </w:r>
    </w:p>
    <w:p>
      <w:pPr>
        <w:spacing w:before="120" w:after="40"/>
        <w:jc w:val="center"/>
      </w:pPr>
      <w:r>
        <w:drawing>
          <wp:inline xmlns:a="http://schemas.openxmlformats.org/drawingml/2006/main" xmlns:pic="http://schemas.openxmlformats.org/drawingml/2006/picture">
            <wp:extent cx="5806440" cy="3787150"/>
            <wp:docPr id="6" name="Picture 6"/>
            <wp:cNvGraphicFramePr>
              <a:graphicFrameLocks noChangeAspect="1"/>
            </wp:cNvGraphicFramePr>
            <a:graphic>
              <a:graphicData uri="http://schemas.openxmlformats.org/drawingml/2006/picture">
                <pic:pic>
                  <pic:nvPicPr>
                    <pic:cNvPr id="0" name="figure6_gantt.png"/>
                    <pic:cNvPicPr/>
                  </pic:nvPicPr>
                  <pic:blipFill>
                    <a:blip r:embed="rId16"/>
                    <a:stretch>
                      <a:fillRect/>
                    </a:stretch>
                  </pic:blipFill>
                  <pic:spPr>
                    <a:xfrm>
                      <a:off x="0" y="0"/>
                      <a:ext cx="5806440" cy="3787150"/>
                    </a:xfrm>
                    <a:prstGeom prst="rect"/>
                  </pic:spPr>
                </pic:pic>
              </a:graphicData>
            </a:graphic>
          </wp:inline>
        </w:drawing>
      </w:r>
    </w:p>
    <w:p>
      <w:pPr>
        <w:spacing w:after="160" w:before="40"/>
        <w:jc w:val="center"/>
      </w:pPr>
      <w:r>
        <w:rPr>
          <w:rFonts w:ascii="Times New Roman" w:hAnsi="Times New Roman"/>
          <w:i/>
          <w:sz w:val="18"/>
        </w:rPr>
        <w:t>Figure 6: Project timeline. The work plan overlaps synthesis, characterization, theory, and devices to shorten the feedback loop and ensure that negative growth outcomes are converted quickly into revised growth conditions.</w:t>
      </w:r>
    </w:p>
    <w:tbl>
      <w:tblPr>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56"/>
        <w:gridCol w:w="2556"/>
        <w:gridCol w:w="2556"/>
        <w:gridCol w:w="2556"/>
      </w:tblGrid>
      <w:tr>
        <w:tc>
          <w:tcPr>
            <w:tcW w:type="dxa" w:w="2556"/>
            <w:vAlign w:val="center"/>
            <w:shd w:fill="1F4E79"/>
          </w:tcPr>
          <w:p>
            <w:pPr>
              <w:jc w:val="center"/>
            </w:pPr>
            <w:r/>
            <w:r>
              <w:rPr>
                <w:rFonts w:ascii="Times New Roman" w:hAnsi="Times New Roman"/>
                <w:b/>
                <w:color w:val="FFFFFF"/>
                <w:sz w:val="17"/>
              </w:rPr>
              <w:t>Period</w:t>
            </w:r>
          </w:p>
        </w:tc>
        <w:tc>
          <w:tcPr>
            <w:tcW w:type="dxa" w:w="2556"/>
            <w:vAlign w:val="center"/>
            <w:shd w:fill="1F4E79"/>
          </w:tcPr>
          <w:p>
            <w:pPr>
              <w:jc w:val="center"/>
            </w:pPr>
            <w:r/>
            <w:r>
              <w:rPr>
                <w:rFonts w:ascii="Times New Roman" w:hAnsi="Times New Roman"/>
                <w:b/>
                <w:color w:val="FFFFFF"/>
                <w:sz w:val="17"/>
              </w:rPr>
              <w:t>Focus</w:t>
            </w:r>
          </w:p>
        </w:tc>
        <w:tc>
          <w:tcPr>
            <w:tcW w:type="dxa" w:w="2556"/>
            <w:vAlign w:val="center"/>
            <w:shd w:fill="1F4E79"/>
          </w:tcPr>
          <w:p>
            <w:pPr>
              <w:jc w:val="center"/>
            </w:pPr>
            <w:r/>
            <w:r>
              <w:rPr>
                <w:rFonts w:ascii="Times New Roman" w:hAnsi="Times New Roman"/>
                <w:b/>
                <w:color w:val="FFFFFF"/>
                <w:sz w:val="17"/>
              </w:rPr>
              <w:t>Deliverables</w:t>
            </w:r>
          </w:p>
        </w:tc>
        <w:tc>
          <w:tcPr>
            <w:tcW w:type="dxa" w:w="2556"/>
            <w:vAlign w:val="center"/>
            <w:shd w:fill="1F4E79"/>
          </w:tcPr>
          <w:p>
            <w:pPr>
              <w:jc w:val="center"/>
            </w:pPr>
            <w:r/>
            <w:r>
              <w:rPr>
                <w:rFonts w:ascii="Times New Roman" w:hAnsi="Times New Roman"/>
                <w:b/>
                <w:color w:val="FFFFFF"/>
                <w:sz w:val="17"/>
              </w:rPr>
              <w:t>Decision gate</w:t>
            </w:r>
          </w:p>
        </w:tc>
      </w:tr>
      <w:tr>
        <w:tc>
          <w:tcPr>
            <w:tcW w:type="dxa" w:w="2556"/>
            <w:vAlign w:val="center"/>
          </w:tcPr>
          <w:p>
            <w:pPr>
              <w:jc w:val="left"/>
            </w:pPr>
            <w:r/>
            <w:r>
              <w:rPr>
                <w:rFonts w:ascii="Times New Roman" w:hAnsi="Times New Roman"/>
                <w:b w:val="0"/>
                <w:sz w:val="15"/>
              </w:rPr>
              <w:t>Months 1-6</w:t>
            </w:r>
          </w:p>
        </w:tc>
        <w:tc>
          <w:tcPr>
            <w:tcW w:type="dxa" w:w="2556"/>
            <w:vAlign w:val="center"/>
          </w:tcPr>
          <w:p>
            <w:pPr>
              <w:jc w:val="left"/>
            </w:pPr>
            <w:r/>
            <w:r>
              <w:rPr>
                <w:rFonts w:ascii="Times New Roman" w:hAnsi="Times New Roman"/>
                <w:b w:val="0"/>
                <w:sz w:val="15"/>
              </w:rPr>
              <w:t>Set up growth calibration</w:t>
            </w:r>
          </w:p>
        </w:tc>
        <w:tc>
          <w:tcPr>
            <w:tcW w:type="dxa" w:w="2556"/>
            <w:vAlign w:val="center"/>
          </w:tcPr>
          <w:p>
            <w:pPr>
              <w:jc w:val="left"/>
            </w:pPr>
            <w:r/>
            <w:r>
              <w:rPr>
                <w:rFonts w:ascii="Times New Roman" w:hAnsi="Times New Roman"/>
                <w:b w:val="0"/>
                <w:sz w:val="15"/>
              </w:rPr>
              <w:t>Flux maps, substrate cleaning protocols, first CrTe₂/Fe₃GaTe₂ films</w:t>
            </w:r>
          </w:p>
        </w:tc>
        <w:tc>
          <w:tcPr>
            <w:tcW w:type="dxa" w:w="2556"/>
            <w:vAlign w:val="center"/>
          </w:tcPr>
          <w:p>
            <w:pPr>
              <w:jc w:val="left"/>
            </w:pPr>
            <w:r/>
            <w:r>
              <w:rPr>
                <w:rFonts w:ascii="Times New Roman" w:hAnsi="Times New Roman"/>
                <w:b w:val="0"/>
                <w:sz w:val="15"/>
              </w:rPr>
              <w:t>RHEED + XPS confirm phase and stoichiometry</w:t>
            </w:r>
          </w:p>
        </w:tc>
      </w:tr>
      <w:tr>
        <w:tc>
          <w:tcPr>
            <w:tcW w:type="dxa" w:w="2556"/>
            <w:vAlign w:val="center"/>
          </w:tcPr>
          <w:p>
            <w:pPr>
              <w:jc w:val="left"/>
            </w:pPr>
            <w:r/>
            <w:r>
              <w:rPr>
                <w:rFonts w:ascii="Times New Roman" w:hAnsi="Times New Roman"/>
                <w:b w:val="0"/>
                <w:sz w:val="15"/>
              </w:rPr>
              <w:t>Months 7-12</w:t>
            </w:r>
          </w:p>
        </w:tc>
        <w:tc>
          <w:tcPr>
            <w:tcW w:type="dxa" w:w="2556"/>
            <w:vAlign w:val="center"/>
          </w:tcPr>
          <w:p>
            <w:pPr>
              <w:jc w:val="left"/>
            </w:pPr>
            <w:r/>
            <w:r>
              <w:rPr>
                <w:rFonts w:ascii="Times New Roman" w:hAnsi="Times New Roman"/>
                <w:b w:val="0"/>
                <w:sz w:val="15"/>
              </w:rPr>
              <w:t>Magnetic verification</w:t>
            </w:r>
          </w:p>
        </w:tc>
        <w:tc>
          <w:tcPr>
            <w:tcW w:type="dxa" w:w="2556"/>
            <w:vAlign w:val="center"/>
          </w:tcPr>
          <w:p>
            <w:pPr>
              <w:jc w:val="left"/>
            </w:pPr>
            <w:r/>
            <w:r>
              <w:rPr>
                <w:rFonts w:ascii="Times New Roman" w:hAnsi="Times New Roman"/>
                <w:b w:val="0"/>
                <w:sz w:val="15"/>
              </w:rPr>
              <w:t>SQUID/MOKE/MFM data for first candidates</w:t>
            </w:r>
          </w:p>
        </w:tc>
        <w:tc>
          <w:tcPr>
            <w:tcW w:type="dxa" w:w="2556"/>
            <w:vAlign w:val="center"/>
          </w:tcPr>
          <w:p>
            <w:pPr>
              <w:jc w:val="left"/>
            </w:pPr>
            <w:r/>
            <w:r>
              <w:rPr>
                <w:rFonts w:ascii="Times New Roman" w:hAnsi="Times New Roman"/>
                <w:b w:val="0"/>
                <w:sz w:val="15"/>
              </w:rPr>
              <w:t>T_C and coercivity reproducible across growth runs</w:t>
            </w:r>
          </w:p>
        </w:tc>
      </w:tr>
      <w:tr>
        <w:tc>
          <w:tcPr>
            <w:tcW w:type="dxa" w:w="2556"/>
            <w:vAlign w:val="center"/>
          </w:tcPr>
          <w:p>
            <w:pPr>
              <w:jc w:val="left"/>
            </w:pPr>
            <w:r/>
            <w:r>
              <w:rPr>
                <w:rFonts w:ascii="Times New Roman" w:hAnsi="Times New Roman"/>
                <w:b w:val="0"/>
                <w:sz w:val="15"/>
              </w:rPr>
              <w:t>Months 13-18</w:t>
            </w:r>
          </w:p>
        </w:tc>
        <w:tc>
          <w:tcPr>
            <w:tcW w:type="dxa" w:w="2556"/>
            <w:vAlign w:val="center"/>
          </w:tcPr>
          <w:p>
            <w:pPr>
              <w:jc w:val="left"/>
            </w:pPr>
            <w:r/>
            <w:r>
              <w:rPr>
                <w:rFonts w:ascii="Times New Roman" w:hAnsi="Times New Roman"/>
                <w:b w:val="0"/>
                <w:sz w:val="15"/>
              </w:rPr>
              <w:t>CVD and MBene expansion</w:t>
            </w:r>
          </w:p>
        </w:tc>
        <w:tc>
          <w:tcPr>
            <w:tcW w:type="dxa" w:w="2556"/>
            <w:vAlign w:val="center"/>
          </w:tcPr>
          <w:p>
            <w:pPr>
              <w:jc w:val="left"/>
            </w:pPr>
            <w:r/>
            <w:r>
              <w:rPr>
                <w:rFonts w:ascii="Times New Roman" w:hAnsi="Times New Roman"/>
                <w:b w:val="0"/>
                <w:sz w:val="15"/>
              </w:rPr>
              <w:t>MnS₂/ReS₂ and Mo₄/₃B₂ defect-series samples</w:t>
            </w:r>
          </w:p>
        </w:tc>
        <w:tc>
          <w:tcPr>
            <w:tcW w:type="dxa" w:w="2556"/>
            <w:vAlign w:val="center"/>
          </w:tcPr>
          <w:p>
            <w:pPr>
              <w:jc w:val="left"/>
            </w:pPr>
            <w:r/>
            <w:r>
              <w:rPr>
                <w:rFonts w:ascii="Times New Roman" w:hAnsi="Times New Roman"/>
                <w:b w:val="0"/>
                <w:sz w:val="15"/>
              </w:rPr>
              <w:t>Magnetic signal scales with active material, not impurity level</w:t>
            </w:r>
          </w:p>
        </w:tc>
      </w:tr>
      <w:tr>
        <w:tc>
          <w:tcPr>
            <w:tcW w:type="dxa" w:w="2556"/>
            <w:vAlign w:val="center"/>
          </w:tcPr>
          <w:p>
            <w:pPr>
              <w:jc w:val="left"/>
            </w:pPr>
            <w:r/>
            <w:r>
              <w:rPr>
                <w:rFonts w:ascii="Times New Roman" w:hAnsi="Times New Roman"/>
                <w:b w:val="0"/>
                <w:sz w:val="15"/>
              </w:rPr>
              <w:t>Months 19-24</w:t>
            </w:r>
          </w:p>
        </w:tc>
        <w:tc>
          <w:tcPr>
            <w:tcW w:type="dxa" w:w="2556"/>
            <w:vAlign w:val="center"/>
          </w:tcPr>
          <w:p>
            <w:pPr>
              <w:jc w:val="left"/>
            </w:pPr>
            <w:r/>
            <w:r>
              <w:rPr>
                <w:rFonts w:ascii="Times New Roman" w:hAnsi="Times New Roman"/>
                <w:b w:val="0"/>
                <w:sz w:val="15"/>
              </w:rPr>
              <w:t>AHE and MTJ devices</w:t>
            </w:r>
          </w:p>
        </w:tc>
        <w:tc>
          <w:tcPr>
            <w:tcW w:type="dxa" w:w="2556"/>
            <w:vAlign w:val="center"/>
          </w:tcPr>
          <w:p>
            <w:pPr>
              <w:jc w:val="left"/>
            </w:pPr>
            <w:r/>
            <w:r>
              <w:rPr>
                <w:rFonts w:ascii="Times New Roman" w:hAnsi="Times New Roman"/>
                <w:b w:val="0"/>
                <w:sz w:val="15"/>
              </w:rPr>
              <w:t>Hall bars and preliminary tunnel stacks</w:t>
            </w:r>
          </w:p>
        </w:tc>
        <w:tc>
          <w:tcPr>
            <w:tcW w:type="dxa" w:w="2556"/>
            <w:vAlign w:val="center"/>
          </w:tcPr>
          <w:p>
            <w:pPr>
              <w:jc w:val="left"/>
            </w:pPr>
            <w:r/>
            <w:r>
              <w:rPr>
                <w:rFonts w:ascii="Times New Roman" w:hAnsi="Times New Roman"/>
                <w:b w:val="0"/>
                <w:sz w:val="15"/>
              </w:rPr>
              <w:t>Switching observed in ≥10 devices at 300 K</w:t>
            </w:r>
          </w:p>
        </w:tc>
      </w:tr>
      <w:tr>
        <w:tc>
          <w:tcPr>
            <w:tcW w:type="dxa" w:w="2556"/>
            <w:vAlign w:val="center"/>
          </w:tcPr>
          <w:p>
            <w:pPr>
              <w:jc w:val="left"/>
            </w:pPr>
            <w:r/>
            <w:r>
              <w:rPr>
                <w:rFonts w:ascii="Times New Roman" w:hAnsi="Times New Roman"/>
                <w:b w:val="0"/>
                <w:sz w:val="15"/>
              </w:rPr>
              <w:t>Months 25-30</w:t>
            </w:r>
          </w:p>
        </w:tc>
        <w:tc>
          <w:tcPr>
            <w:tcW w:type="dxa" w:w="2556"/>
            <w:vAlign w:val="center"/>
          </w:tcPr>
          <w:p>
            <w:pPr>
              <w:jc w:val="left"/>
            </w:pPr>
            <w:r/>
            <w:r>
              <w:rPr>
                <w:rFonts w:ascii="Times New Roman" w:hAnsi="Times New Roman"/>
                <w:b w:val="0"/>
                <w:sz w:val="15"/>
              </w:rPr>
              <w:t>SOT heterostructures</w:t>
            </w:r>
          </w:p>
        </w:tc>
        <w:tc>
          <w:tcPr>
            <w:tcW w:type="dxa" w:w="2556"/>
            <w:vAlign w:val="center"/>
          </w:tcPr>
          <w:p>
            <w:pPr>
              <w:jc w:val="left"/>
            </w:pPr>
            <w:r/>
            <w:r>
              <w:rPr>
                <w:rFonts w:ascii="Times New Roman" w:hAnsi="Times New Roman"/>
                <w:b w:val="0"/>
                <w:sz w:val="15"/>
              </w:rPr>
              <w:t>2D FM/TI devices and current switching data</w:t>
            </w:r>
          </w:p>
        </w:tc>
        <w:tc>
          <w:tcPr>
            <w:tcW w:type="dxa" w:w="2556"/>
            <w:vAlign w:val="center"/>
          </w:tcPr>
          <w:p>
            <w:pPr>
              <w:jc w:val="left"/>
            </w:pPr>
            <w:r/>
            <w:r>
              <w:rPr>
                <w:rFonts w:ascii="Times New Roman" w:hAnsi="Times New Roman"/>
                <w:b w:val="0"/>
                <w:sz w:val="15"/>
              </w:rPr>
              <w:t>Switching current density benchmarked</w:t>
            </w:r>
          </w:p>
        </w:tc>
      </w:tr>
      <w:tr>
        <w:tc>
          <w:tcPr>
            <w:tcW w:type="dxa" w:w="2556"/>
            <w:vAlign w:val="center"/>
          </w:tcPr>
          <w:p>
            <w:pPr>
              <w:jc w:val="left"/>
            </w:pPr>
            <w:r/>
            <w:r>
              <w:rPr>
                <w:rFonts w:ascii="Times New Roman" w:hAnsi="Times New Roman"/>
                <w:b w:val="0"/>
                <w:sz w:val="15"/>
              </w:rPr>
              <w:t>Months 31-36</w:t>
            </w:r>
          </w:p>
        </w:tc>
        <w:tc>
          <w:tcPr>
            <w:tcW w:type="dxa" w:w="2556"/>
            <w:vAlign w:val="center"/>
          </w:tcPr>
          <w:p>
            <w:pPr>
              <w:jc w:val="left"/>
            </w:pPr>
            <w:r/>
            <w:r>
              <w:rPr>
                <w:rFonts w:ascii="Times New Roman" w:hAnsi="Times New Roman"/>
                <w:b w:val="0"/>
                <w:sz w:val="15"/>
              </w:rPr>
              <w:t>Integration and dissemination</w:t>
            </w:r>
          </w:p>
        </w:tc>
        <w:tc>
          <w:tcPr>
            <w:tcW w:type="dxa" w:w="2556"/>
            <w:vAlign w:val="center"/>
          </w:tcPr>
          <w:p>
            <w:pPr>
              <w:jc w:val="left"/>
            </w:pPr>
            <w:r/>
            <w:r>
              <w:rPr>
                <w:rFonts w:ascii="Times New Roman" w:hAnsi="Times New Roman"/>
                <w:b w:val="0"/>
                <w:sz w:val="15"/>
              </w:rPr>
              <w:t>Open dataset, protocol document, high-impact manuscripts</w:t>
            </w:r>
          </w:p>
        </w:tc>
        <w:tc>
          <w:tcPr>
            <w:tcW w:type="dxa" w:w="2556"/>
            <w:vAlign w:val="center"/>
          </w:tcPr>
          <w:p>
            <w:pPr>
              <w:jc w:val="left"/>
            </w:pPr>
            <w:r/>
            <w:r>
              <w:rPr>
                <w:rFonts w:ascii="Times New Roman" w:hAnsi="Times New Roman"/>
                <w:b w:val="0"/>
                <w:sz w:val="15"/>
              </w:rPr>
              <w:t>Complete reproducibility package and final report</w:t>
            </w:r>
          </w:p>
        </w:tc>
      </w:tr>
    </w:tbl>
    <w:p>
      <w:pPr>
        <w:pStyle w:val="SectionHeading"/>
        <w:spacing w:before="200" w:after="80"/>
        <w:shd w:fill="D9EAF7"/>
      </w:pPr>
      <w:r>
        <w:rPr>
          <w:rFonts w:ascii="Times New Roman" w:hAnsi="Times New Roman"/>
          <w:b/>
          <w:color w:val="1F4E79"/>
          <w:sz w:val="26"/>
        </w:rPr>
        <w:t>VI. Innovation and Expected Impact</w:t>
      </w:r>
    </w:p>
    <w:p>
      <w:pPr>
        <w:pStyle w:val="SubsectionHeading"/>
      </w:pPr>
      <w:r>
        <w:rPr>
          <w:rFonts w:ascii="Times New Roman" w:hAnsi="Times New Roman"/>
          <w:b/>
          <w:color w:val="1F4E79"/>
          <w:sz w:val="22"/>
        </w:rPr>
        <w:t>Innovation</w:t>
      </w:r>
    </w:p>
    <w:p>
      <w:pPr>
        <w:pStyle w:val="ListBullet"/>
        <w:spacing w:after="40"/>
        <w:ind w:left="504" w:hanging="259"/>
        <w:jc w:val="both"/>
      </w:pPr>
      <w:r>
        <w:rPr>
          <w:rFonts w:ascii="Times New Roman" w:hAnsi="Times New Roman"/>
          <w:sz w:val="20"/>
        </w:rPr>
        <w:t>A complete synthesis-to-device workflow for room-temperature 2D ferromagnets rather than a single-material study.</w:t>
      </w:r>
    </w:p>
    <w:p>
      <w:pPr>
        <w:pStyle w:val="ListBullet"/>
        <w:spacing w:after="40"/>
        <w:ind w:left="504" w:hanging="259"/>
        <w:jc w:val="both"/>
      </w:pPr>
      <w:r>
        <w:rPr>
          <w:rFonts w:ascii="Times New Roman" w:hAnsi="Times New Roman"/>
          <w:sz w:val="20"/>
        </w:rPr>
        <w:t>A rigorous intrinsic-ferromagnetism verification protocol that combines thickness dependence, element-specific magnetism, domain imaging, chemical analysis, and transport.</w:t>
      </w:r>
    </w:p>
    <w:p>
      <w:pPr>
        <w:pStyle w:val="ListBullet"/>
        <w:spacing w:after="40"/>
        <w:ind w:left="504" w:hanging="259"/>
        <w:jc w:val="both"/>
      </w:pPr>
      <w:r>
        <w:rPr>
          <w:rFonts w:ascii="Times New Roman" w:hAnsi="Times New Roman"/>
          <w:sz w:val="20"/>
        </w:rPr>
        <w:t>Integration of semiconducting MnS₂/ReS₂ and vacancy-engineered MBenes with metallic vdW magnets to compare fundamentally different routes to room-temperature order.</w:t>
      </w:r>
    </w:p>
    <w:p>
      <w:pPr>
        <w:pStyle w:val="ListBullet"/>
        <w:spacing w:after="40"/>
        <w:ind w:left="504" w:hanging="259"/>
        <w:jc w:val="both"/>
      </w:pPr>
      <w:r>
        <w:rPr>
          <w:rFonts w:ascii="Times New Roman" w:hAnsi="Times New Roman"/>
          <w:sz w:val="20"/>
        </w:rPr>
        <w:t>Direct feedback between DFT, ARPES, magnetometry, and growth process windows to establish predictive growth-property relationships.</w:t>
      </w:r>
    </w:p>
    <w:p>
      <w:pPr>
        <w:pStyle w:val="SubsectionHeading"/>
      </w:pPr>
      <w:r>
        <w:rPr>
          <w:rFonts w:ascii="Times New Roman" w:hAnsi="Times New Roman"/>
          <w:b/>
          <w:color w:val="1F4E79"/>
          <w:sz w:val="22"/>
        </w:rPr>
        <w:t>Expected outputs</w:t>
      </w:r>
    </w:p>
    <w:p>
      <w:pPr>
        <w:pStyle w:val="ListBullet"/>
        <w:spacing w:after="40"/>
        <w:ind w:left="504" w:hanging="259"/>
        <w:jc w:val="both"/>
      </w:pPr>
      <w:r>
        <w:rPr>
          <w:rFonts w:ascii="Times New Roman" w:hAnsi="Times New Roman"/>
          <w:sz w:val="20"/>
        </w:rPr>
        <w:t>Reproducible MBE/CVD recipes for high-quality 2D ferromagnetic films and heterostructures.</w:t>
      </w:r>
    </w:p>
    <w:p>
      <w:pPr>
        <w:pStyle w:val="ListBullet"/>
        <w:spacing w:after="40"/>
        <w:ind w:left="504" w:hanging="259"/>
        <w:jc w:val="both"/>
      </w:pPr>
      <w:r>
        <w:rPr>
          <w:rFonts w:ascii="Times New Roman" w:hAnsi="Times New Roman"/>
          <w:sz w:val="20"/>
        </w:rPr>
        <w:t>A public protocol for distinguishing intrinsic ferromagnetism from contamination, substrate artifacts, and uncontrolled defects in ultrathin films.</w:t>
      </w:r>
    </w:p>
    <w:p>
      <w:pPr>
        <w:pStyle w:val="ListBullet"/>
        <w:spacing w:after="40"/>
        <w:ind w:left="504" w:hanging="259"/>
        <w:jc w:val="both"/>
      </w:pPr>
      <w:r>
        <w:rPr>
          <w:rFonts w:ascii="Times New Roman" w:hAnsi="Times New Roman"/>
          <w:sz w:val="20"/>
        </w:rPr>
        <w:t>At least three manuscripts: growth/characterization, mechanism/theory, and device demonstration.</w:t>
      </w:r>
    </w:p>
    <w:p>
      <w:pPr>
        <w:pStyle w:val="ListBullet"/>
        <w:spacing w:after="40"/>
        <w:ind w:left="504" w:hanging="259"/>
        <w:jc w:val="both"/>
      </w:pPr>
      <w:r>
        <w:rPr>
          <w:rFonts w:ascii="Times New Roman" w:hAnsi="Times New Roman"/>
          <w:sz w:val="20"/>
        </w:rPr>
        <w:t>Open datasets containing RHEED videos, growth logs, STEM images, magnetometry loops, ARPES maps, and device transport curves.</w:t>
      </w:r>
    </w:p>
    <w:p>
      <w:pPr>
        <w:pStyle w:val="ListBullet"/>
        <w:spacing w:after="40"/>
        <w:ind w:left="504" w:hanging="259"/>
        <w:jc w:val="both"/>
      </w:pPr>
      <w:r>
        <w:rPr>
          <w:rFonts w:ascii="Times New Roman" w:hAnsi="Times New Roman"/>
          <w:sz w:val="20"/>
        </w:rPr>
        <w:t>Training of graduate students and postdoctoral researchers in advanced 2D materials growth, synchrotron spectroscopy, magnetic imaging, and nanofabrication.</w:t>
      </w:r>
    </w:p>
    <w:p>
      <w:pPr>
        <w:pStyle w:val="SectionHeading"/>
        <w:spacing w:before="200" w:after="80"/>
        <w:shd w:fill="D9EAF7"/>
      </w:pPr>
      <w:r>
        <w:rPr>
          <w:rFonts w:ascii="Times New Roman" w:hAnsi="Times New Roman"/>
          <w:b/>
          <w:color w:val="1F4E79"/>
          <w:sz w:val="26"/>
        </w:rPr>
        <w:t>VII. Risk Mitigation and Alternative Strategies</w:t>
      </w:r>
    </w:p>
    <w:tbl>
      <w:tblPr>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08"/>
        <w:gridCol w:w="3408"/>
        <w:gridCol w:w="3408"/>
      </w:tblGrid>
      <w:tr>
        <w:tc>
          <w:tcPr>
            <w:tcW w:type="dxa" w:w="3408"/>
            <w:vAlign w:val="center"/>
            <w:shd w:fill="1F4E79"/>
          </w:tcPr>
          <w:p>
            <w:pPr>
              <w:jc w:val="center"/>
            </w:pPr>
            <w:r/>
            <w:r>
              <w:rPr>
                <w:rFonts w:ascii="Times New Roman" w:hAnsi="Times New Roman"/>
                <w:b/>
                <w:color w:val="FFFFFF"/>
                <w:sz w:val="17"/>
              </w:rPr>
              <w:t>Risk</w:t>
            </w:r>
          </w:p>
        </w:tc>
        <w:tc>
          <w:tcPr>
            <w:tcW w:type="dxa" w:w="3408"/>
            <w:vAlign w:val="center"/>
            <w:shd w:fill="1F4E79"/>
          </w:tcPr>
          <w:p>
            <w:pPr>
              <w:jc w:val="center"/>
            </w:pPr>
            <w:r/>
            <w:r>
              <w:rPr>
                <w:rFonts w:ascii="Times New Roman" w:hAnsi="Times New Roman"/>
                <w:b/>
                <w:color w:val="FFFFFF"/>
                <w:sz w:val="17"/>
              </w:rPr>
              <w:t>Impact</w:t>
            </w:r>
          </w:p>
        </w:tc>
        <w:tc>
          <w:tcPr>
            <w:tcW w:type="dxa" w:w="3408"/>
            <w:vAlign w:val="center"/>
            <w:shd w:fill="1F4E79"/>
          </w:tcPr>
          <w:p>
            <w:pPr>
              <w:jc w:val="center"/>
            </w:pPr>
            <w:r/>
            <w:r>
              <w:rPr>
                <w:rFonts w:ascii="Times New Roman" w:hAnsi="Times New Roman"/>
                <w:b/>
                <w:color w:val="FFFFFF"/>
                <w:sz w:val="17"/>
              </w:rPr>
              <w:t>Mitigation / alternative route</w:t>
            </w:r>
          </w:p>
        </w:tc>
      </w:tr>
      <w:tr>
        <w:tc>
          <w:tcPr>
            <w:tcW w:type="dxa" w:w="3408"/>
            <w:vAlign w:val="center"/>
          </w:tcPr>
          <w:p>
            <w:pPr>
              <w:jc w:val="left"/>
            </w:pPr>
            <w:r/>
            <w:r>
              <w:rPr>
                <w:rFonts w:ascii="Times New Roman" w:hAnsi="Times New Roman"/>
                <w:b w:val="0"/>
                <w:sz w:val="15"/>
              </w:rPr>
              <w:t>Secondary phases or oxidation mimic magnetism</w:t>
            </w:r>
          </w:p>
        </w:tc>
        <w:tc>
          <w:tcPr>
            <w:tcW w:type="dxa" w:w="3408"/>
            <w:vAlign w:val="center"/>
          </w:tcPr>
          <w:p>
            <w:pPr>
              <w:jc w:val="left"/>
            </w:pPr>
            <w:r/>
            <w:r>
              <w:rPr>
                <w:rFonts w:ascii="Times New Roman" w:hAnsi="Times New Roman"/>
                <w:b w:val="0"/>
                <w:sz w:val="15"/>
              </w:rPr>
              <w:t>False-positive magnetic claims</w:t>
            </w:r>
          </w:p>
        </w:tc>
        <w:tc>
          <w:tcPr>
            <w:tcW w:type="dxa" w:w="3408"/>
            <w:vAlign w:val="center"/>
          </w:tcPr>
          <w:p>
            <w:pPr>
              <w:jc w:val="left"/>
            </w:pPr>
            <w:r/>
            <w:r>
              <w:rPr>
                <w:rFonts w:ascii="Times New Roman" w:hAnsi="Times New Roman"/>
                <w:b w:val="0"/>
                <w:sz w:val="15"/>
              </w:rPr>
              <w:t>Use in-situ transfer, XPS/RBS, blank-substrate controls, XMCD, and thickness scaling before device fabrication</w:t>
            </w:r>
          </w:p>
        </w:tc>
      </w:tr>
      <w:tr>
        <w:tc>
          <w:tcPr>
            <w:tcW w:type="dxa" w:w="3408"/>
            <w:vAlign w:val="center"/>
          </w:tcPr>
          <w:p>
            <w:pPr>
              <w:jc w:val="left"/>
            </w:pPr>
            <w:r/>
            <w:r>
              <w:rPr>
                <w:rFonts w:ascii="Times New Roman" w:hAnsi="Times New Roman"/>
                <w:b w:val="0"/>
                <w:sz w:val="15"/>
              </w:rPr>
              <w:t>MBE films not continuous over target area</w:t>
            </w:r>
          </w:p>
        </w:tc>
        <w:tc>
          <w:tcPr>
            <w:tcW w:type="dxa" w:w="3408"/>
            <w:vAlign w:val="center"/>
          </w:tcPr>
          <w:p>
            <w:pPr>
              <w:jc w:val="left"/>
            </w:pPr>
            <w:r/>
            <w:r>
              <w:rPr>
                <w:rFonts w:ascii="Times New Roman" w:hAnsi="Times New Roman"/>
                <w:b w:val="0"/>
                <w:sz w:val="15"/>
              </w:rPr>
              <w:t>Device yield too low</w:t>
            </w:r>
          </w:p>
        </w:tc>
        <w:tc>
          <w:tcPr>
            <w:tcW w:type="dxa" w:w="3408"/>
            <w:vAlign w:val="center"/>
          </w:tcPr>
          <w:p>
            <w:pPr>
              <w:jc w:val="left"/>
            </w:pPr>
            <w:r/>
            <w:r>
              <w:rPr>
                <w:rFonts w:ascii="Times New Roman" w:hAnsi="Times New Roman"/>
                <w:b w:val="0"/>
                <w:sz w:val="15"/>
              </w:rPr>
              <w:t>Switch to smaller proof-of-concept devices while optimizing flux/temperature; use graphene/SiC and HOPG as parallel substrates</w:t>
            </w:r>
          </w:p>
        </w:tc>
      </w:tr>
      <w:tr>
        <w:tc>
          <w:tcPr>
            <w:tcW w:type="dxa" w:w="3408"/>
            <w:vAlign w:val="center"/>
          </w:tcPr>
          <w:p>
            <w:pPr>
              <w:jc w:val="left"/>
            </w:pPr>
            <w:r/>
            <w:r>
              <w:rPr>
                <w:rFonts w:ascii="Times New Roman" w:hAnsi="Times New Roman"/>
                <w:b w:val="0"/>
                <w:sz w:val="15"/>
              </w:rPr>
              <w:t>MnS₂ phase unstable outside ReS₂ matrix</w:t>
            </w:r>
          </w:p>
        </w:tc>
        <w:tc>
          <w:tcPr>
            <w:tcW w:type="dxa" w:w="3408"/>
            <w:vAlign w:val="center"/>
          </w:tcPr>
          <w:p>
            <w:pPr>
              <w:jc w:val="left"/>
            </w:pPr>
            <w:r/>
            <w:r>
              <w:rPr>
                <w:rFonts w:ascii="Times New Roman" w:hAnsi="Times New Roman"/>
                <w:b w:val="0"/>
                <w:sz w:val="15"/>
              </w:rPr>
              <w:t>Loss of semiconducting magnetic route</w:t>
            </w:r>
          </w:p>
        </w:tc>
        <w:tc>
          <w:tcPr>
            <w:tcW w:type="dxa" w:w="3408"/>
            <w:vAlign w:val="center"/>
          </w:tcPr>
          <w:p>
            <w:pPr>
              <w:jc w:val="left"/>
            </w:pPr>
            <w:r/>
            <w:r>
              <w:rPr>
                <w:rFonts w:ascii="Times New Roman" w:hAnsi="Times New Roman"/>
                <w:b w:val="0"/>
                <w:sz w:val="15"/>
              </w:rPr>
              <w:t>Test alloyed Mn(S,Se)₂ and substrate strain; keep CrTe₂/Fe₃GaTe₂ as benchmark path</w:t>
            </w:r>
          </w:p>
        </w:tc>
      </w:tr>
      <w:tr>
        <w:tc>
          <w:tcPr>
            <w:tcW w:type="dxa" w:w="3408"/>
            <w:vAlign w:val="center"/>
          </w:tcPr>
          <w:p>
            <w:pPr>
              <w:jc w:val="left"/>
            </w:pPr>
            <w:r/>
            <w:r>
              <w:rPr>
                <w:rFonts w:ascii="Times New Roman" w:hAnsi="Times New Roman"/>
                <w:b w:val="0"/>
                <w:sz w:val="15"/>
              </w:rPr>
              <w:t>MTJ barriers have pinholes or low TMR</w:t>
            </w:r>
          </w:p>
        </w:tc>
        <w:tc>
          <w:tcPr>
            <w:tcW w:type="dxa" w:w="3408"/>
            <w:vAlign w:val="center"/>
          </w:tcPr>
          <w:p>
            <w:pPr>
              <w:jc w:val="left"/>
            </w:pPr>
            <w:r/>
            <w:r>
              <w:rPr>
                <w:rFonts w:ascii="Times New Roman" w:hAnsi="Times New Roman"/>
                <w:b w:val="0"/>
                <w:sz w:val="15"/>
              </w:rPr>
              <w:t>Memory device performance below target</w:t>
            </w:r>
          </w:p>
        </w:tc>
        <w:tc>
          <w:tcPr>
            <w:tcW w:type="dxa" w:w="3408"/>
            <w:vAlign w:val="center"/>
          </w:tcPr>
          <w:p>
            <w:pPr>
              <w:jc w:val="left"/>
            </w:pPr>
            <w:r/>
            <w:r>
              <w:rPr>
                <w:rFonts w:ascii="Times New Roman" w:hAnsi="Times New Roman"/>
                <w:b w:val="0"/>
                <w:sz w:val="15"/>
              </w:rPr>
              <w:t>Use thicker h-BN/MoS₂ barriers, deterministic dry transfer, and conductive AFM pre-screening</w:t>
            </w:r>
          </w:p>
        </w:tc>
      </w:tr>
      <w:tr>
        <w:tc>
          <w:tcPr>
            <w:tcW w:type="dxa" w:w="3408"/>
            <w:vAlign w:val="center"/>
          </w:tcPr>
          <w:p>
            <w:pPr>
              <w:jc w:val="left"/>
            </w:pPr>
            <w:r/>
            <w:r>
              <w:rPr>
                <w:rFonts w:ascii="Times New Roman" w:hAnsi="Times New Roman"/>
                <w:b w:val="0"/>
                <w:sz w:val="15"/>
              </w:rPr>
              <w:t>SOT switching current too high</w:t>
            </w:r>
          </w:p>
        </w:tc>
        <w:tc>
          <w:tcPr>
            <w:tcW w:type="dxa" w:w="3408"/>
            <w:vAlign w:val="center"/>
          </w:tcPr>
          <w:p>
            <w:pPr>
              <w:jc w:val="left"/>
            </w:pPr>
            <w:r/>
            <w:r>
              <w:rPr>
                <w:rFonts w:ascii="Times New Roman" w:hAnsi="Times New Roman"/>
                <w:b w:val="0"/>
                <w:sz w:val="15"/>
              </w:rPr>
              <w:t>Low-power goal not met</w:t>
            </w:r>
          </w:p>
        </w:tc>
        <w:tc>
          <w:tcPr>
            <w:tcW w:type="dxa" w:w="3408"/>
            <w:vAlign w:val="center"/>
          </w:tcPr>
          <w:p>
            <w:pPr>
              <w:jc w:val="left"/>
            </w:pPr>
            <w:r/>
            <w:r>
              <w:rPr>
                <w:rFonts w:ascii="Times New Roman" w:hAnsi="Times New Roman"/>
                <w:b w:val="0"/>
                <w:sz w:val="15"/>
              </w:rPr>
              <w:t>Test Bi₂Te₃, WTe₂, PtTe₂, and heavy-metal control layers; optimize interface cleanliness and FM thickness</w:t>
            </w:r>
          </w:p>
        </w:tc>
      </w:tr>
    </w:tbl>
    <w:p>
      <w:pPr>
        <w:pStyle w:val="SectionHeading"/>
        <w:spacing w:before="200" w:after="80"/>
        <w:shd w:fill="D9EAF7"/>
      </w:pPr>
      <w:r>
        <w:rPr>
          <w:rFonts w:ascii="Times New Roman" w:hAnsi="Times New Roman"/>
          <w:b/>
          <w:color w:val="1F4E79"/>
          <w:sz w:val="26"/>
        </w:rPr>
        <w:t>VIII. Working Conditions and Preliminary Basis</w:t>
      </w:r>
    </w:p>
    <w:p>
      <w:pPr>
        <w:pStyle w:val="Body"/>
        <w:spacing w:after="80" w:line="259" w:lineRule="auto"/>
        <w:ind w:firstLine="360"/>
        <w:jc w:val="both"/>
      </w:pPr>
      <w:r>
        <w:rPr>
          <w:rFonts w:ascii="Times New Roman" w:hAnsi="Times New Roman"/>
          <w:sz w:val="21"/>
        </w:rPr>
        <w:t>The project requires integrated synthesis, nanofabrication, magnetic characterization, and theory. The ideal working environment includes MBE and CVD systems, glovebox or vacuum-transfer capability, cleanroom lithography, access to STEM/AFM/XPS/XRD/RBS, and magnetic probes such as SQUID, MOKE, MFM, and XMCD. Synchrotron ARPES and XMCD access should be scheduled early because these measurements are decisive for validating electronic structure and element-selective magnetism.</w:t>
      </w:r>
    </w:p>
    <w:p>
      <w:pPr>
        <w:pStyle w:val="Body"/>
        <w:spacing w:after="80" w:line="259" w:lineRule="auto"/>
        <w:ind w:firstLine="360"/>
        <w:jc w:val="both"/>
      </w:pPr>
      <w:r>
        <w:rPr>
          <w:rFonts w:ascii="Times New Roman" w:hAnsi="Times New Roman"/>
          <w:sz w:val="21"/>
        </w:rPr>
        <w:t>The current proposal should be customized with the PI group’s facilities, publication record, and preliminary data. Suggested inserts include: preliminary RHEED patterns, initial SQUID or MOKE loops, STEM images showing film continuity, device optical micrographs, and a short publication list showing prior experience in 2D materials growth, magnetic characterization, or spintronic devices.</w:t>
      </w:r>
    </w:p>
    <w:p>
      <w:pPr>
        <w:pStyle w:val="ListBullet"/>
        <w:spacing w:after="40"/>
        <w:ind w:left="504" w:hanging="259"/>
        <w:jc w:val="both"/>
      </w:pPr>
      <w:r>
        <w:rPr>
          <w:rFonts w:ascii="Times New Roman" w:hAnsi="Times New Roman"/>
          <w:sz w:val="20"/>
        </w:rPr>
        <w:t>Recommended preliminary Figure A: RHEED evolution during Fe₃GaTe₂ growth on graphene/SiC.</w:t>
      </w:r>
    </w:p>
    <w:p>
      <w:pPr>
        <w:pStyle w:val="ListBullet"/>
        <w:spacing w:after="40"/>
        <w:ind w:left="504" w:hanging="259"/>
        <w:jc w:val="both"/>
      </w:pPr>
      <w:r>
        <w:rPr>
          <w:rFonts w:ascii="Times New Roman" w:hAnsi="Times New Roman"/>
          <w:sz w:val="20"/>
        </w:rPr>
        <w:t>Recommended preliminary Figure B: SQUID or MOKE hysteresis loop at 300 K for the most promising pilot sample.</w:t>
      </w:r>
    </w:p>
    <w:p>
      <w:pPr>
        <w:pStyle w:val="ListBullet"/>
        <w:spacing w:after="40"/>
        <w:ind w:left="504" w:hanging="259"/>
        <w:jc w:val="both"/>
      </w:pPr>
      <w:r>
        <w:rPr>
          <w:rFonts w:ascii="Times New Roman" w:hAnsi="Times New Roman"/>
          <w:sz w:val="20"/>
        </w:rPr>
        <w:t>Recommended preliminary Figure C: Optical or SEM image of a Hall bar or MTJ device layout fabricated from a 2D ferromagnet film.</w:t>
      </w:r>
    </w:p>
    <w:p>
      <w:pPr>
        <w:pStyle w:val="SectionHeading"/>
        <w:spacing w:before="200" w:after="80"/>
        <w:shd w:fill="D9EAF7"/>
      </w:pPr>
      <w:r>
        <w:rPr>
          <w:rFonts w:ascii="Times New Roman" w:hAnsi="Times New Roman"/>
          <w:b/>
          <w:color w:val="1F4E79"/>
          <w:sz w:val="26"/>
        </w:rPr>
        <w:t>IX. Data Management Plan</w:t>
      </w:r>
    </w:p>
    <w:p>
      <w:pPr>
        <w:pStyle w:val="Body"/>
        <w:spacing w:after="80" w:line="259" w:lineRule="auto"/>
        <w:ind w:firstLine="360"/>
        <w:jc w:val="both"/>
      </w:pPr>
      <w:r>
        <w:rPr>
          <w:rFonts w:ascii="Times New Roman" w:hAnsi="Times New Roman"/>
          <w:sz w:val="21"/>
        </w:rPr>
        <w:t>All raw and processed data will be stored in a version-controlled institutional repository. Each sample will receive a persistent identifier linking growth logs, substrate history, characterization files, device process parameters, and analysis scripts. Raw RHEED videos, XPS spectra, STEM images, SQUID loops, MOKE maps, XMCD spectra, ARPES data, and transport curves will be deposited in an open repository upon publication, with metadata sufficient for independent reuse. Analysis scripts will be released under an open-source license where allowed by institutional policy.</w:t>
      </w:r>
    </w:p>
    <w:p>
      <w:pPr>
        <w:pStyle w:val="SectionHeading"/>
        <w:spacing w:before="200" w:after="80"/>
        <w:shd w:fill="D9EAF7"/>
      </w:pPr>
      <w:r>
        <w:rPr>
          <w:rFonts w:ascii="Times New Roman" w:hAnsi="Times New Roman"/>
          <w:b/>
          <w:color w:val="1F4E79"/>
          <w:sz w:val="26"/>
        </w:rPr>
        <w:t>X. Selected References</w:t>
      </w:r>
    </w:p>
    <w:p>
      <w:pPr>
        <w:spacing w:after="40"/>
        <w:ind w:left="360" w:hanging="360"/>
      </w:pPr>
      <w:r>
        <w:rPr>
          <w:rFonts w:ascii="Times New Roman" w:hAnsi="Times New Roman"/>
          <w:sz w:val="18"/>
        </w:rPr>
        <w:t>1. Gong, C. et al. Discovery of intrinsic ferromagnetism in two-dimensional van der Waals crystals. Nature 546, 265-269 (2017).</w:t>
      </w:r>
    </w:p>
    <w:p>
      <w:pPr>
        <w:spacing w:after="40"/>
        <w:ind w:left="360" w:hanging="360"/>
      </w:pPr>
      <w:r>
        <w:rPr>
          <w:rFonts w:ascii="Times New Roman" w:hAnsi="Times New Roman"/>
          <w:sz w:val="18"/>
        </w:rPr>
        <w:t>2. Huang, B. et al. Layer-dependent ferromagnetism in a van der Waals crystal down to the monolayer limit. Nature 546, 270-273 (2017).</w:t>
      </w:r>
    </w:p>
    <w:p>
      <w:pPr>
        <w:spacing w:after="40"/>
        <w:ind w:left="360" w:hanging="360"/>
      </w:pPr>
      <w:r>
        <w:rPr>
          <w:rFonts w:ascii="Times New Roman" w:hAnsi="Times New Roman"/>
          <w:sz w:val="18"/>
        </w:rPr>
        <w:t>3. Burch, K. S., Mandrus, D. &amp; Park, J.-G. Magnetism in two-dimensional van der Waals materials. Nature 563, 47-52 (2018).</w:t>
      </w:r>
    </w:p>
    <w:p>
      <w:pPr>
        <w:spacing w:after="40"/>
        <w:ind w:left="360" w:hanging="360"/>
      </w:pPr>
      <w:r>
        <w:rPr>
          <w:rFonts w:ascii="Times New Roman" w:hAnsi="Times New Roman"/>
          <w:sz w:val="18"/>
        </w:rPr>
        <w:t>4. Deng, Y. et al. Gate-tunable room-temperature ferromagnetism in two-dimensional Fe3GeTe2. Nature 563, 94-99 (2018).</w:t>
      </w:r>
    </w:p>
    <w:p>
      <w:pPr>
        <w:spacing w:after="40"/>
        <w:ind w:left="360" w:hanging="360"/>
      </w:pPr>
      <w:r>
        <w:rPr>
          <w:rFonts w:ascii="Times New Roman" w:hAnsi="Times New Roman"/>
          <w:sz w:val="18"/>
        </w:rPr>
        <w:t>5. Zhang, X. et al. Room-temperature intrinsic ferromagnetism in epitaxial CrTe2 ultrathin films. Nature Communications 12, 2492 (2021).</w:t>
      </w:r>
    </w:p>
    <w:p>
      <w:pPr>
        <w:spacing w:after="40"/>
        <w:ind w:left="360" w:hanging="360"/>
      </w:pPr>
      <w:r>
        <w:rPr>
          <w:rFonts w:ascii="Times New Roman" w:hAnsi="Times New Roman"/>
          <w:sz w:val="18"/>
        </w:rPr>
        <w:t>6. Zhang, G. et al. Above-room-temperature strong intrinsic ferromagnetism in 2D van der Waals Fe3GaTe2 with large perpendicular magnetic anisotropy. Nature Communications 13, 5067 (2022).</w:t>
      </w:r>
    </w:p>
    <w:p>
      <w:pPr>
        <w:spacing w:after="40"/>
        <w:ind w:left="360" w:hanging="360"/>
      </w:pPr>
      <w:r>
        <w:rPr>
          <w:rFonts w:ascii="Times New Roman" w:hAnsi="Times New Roman"/>
          <w:sz w:val="18"/>
        </w:rPr>
        <w:t>7. Wang, H. et al. Room temperature energy-efficient spin-orbit torque switching in two-dimensional van der Waals Fe3GeTe2 induced by topological insulators. Nature Communications 14, 5173 (2023).</w:t>
      </w:r>
    </w:p>
    <w:p>
      <w:pPr>
        <w:spacing w:after="40"/>
        <w:ind w:left="360" w:hanging="360"/>
      </w:pPr>
      <w:r>
        <w:rPr>
          <w:rFonts w:ascii="Times New Roman" w:hAnsi="Times New Roman"/>
          <w:sz w:val="18"/>
        </w:rPr>
        <w:t>8. Zhang, H. et al. Room-temperature ferromagnetism in epitaxial bilayer FeSb/SrTiO3(001) terminated with a Kagome lattice. Nano Letters 24, 122-129 (2024).</w:t>
      </w:r>
    </w:p>
    <w:p>
      <w:pPr>
        <w:spacing w:after="40"/>
        <w:ind w:left="360" w:hanging="360"/>
      </w:pPr>
      <w:r>
        <w:rPr>
          <w:rFonts w:ascii="Times New Roman" w:hAnsi="Times New Roman"/>
          <w:sz w:val="18"/>
        </w:rPr>
        <w:t>9. Wu, S. et al. Robust ferromagnetism in wafer-scale Fe3GaTe2 above room temperature. Nature Communications (2024).</w:t>
      </w:r>
    </w:p>
    <w:p>
      <w:pPr>
        <w:spacing w:after="40"/>
        <w:ind w:left="360" w:hanging="360"/>
      </w:pPr>
      <w:r>
        <w:rPr>
          <w:rFonts w:ascii="Times New Roman" w:hAnsi="Times New Roman"/>
          <w:sz w:val="18"/>
        </w:rPr>
        <w:t>10. Lv, H. et al. Large-area synthesis of ferromagnetic Fe5-xGeTe2/graphene van der Waals heterostructures with Curie temperature above room temperature. arXiv:2303.10252 (2023).</w:t>
      </w:r>
    </w:p>
    <w:p>
      <w:pPr>
        <w:spacing w:after="40"/>
        <w:ind w:left="360" w:hanging="360"/>
      </w:pPr>
      <w:r>
        <w:rPr>
          <w:rFonts w:ascii="Times New Roman" w:hAnsi="Times New Roman"/>
          <w:sz w:val="18"/>
        </w:rPr>
        <w:t>11. Zhang, L. et al. Vacancies engineering in molybdenum boride MBene nanosheets to activate room-temperature ferromagnetism. Advanced Materials 37, 2411765 (2025).</w:t>
      </w:r>
    </w:p>
    <w:p>
      <w:pPr>
        <w:spacing w:after="40"/>
        <w:ind w:left="360" w:hanging="360"/>
      </w:pPr>
      <w:r>
        <w:rPr>
          <w:rFonts w:ascii="Times New Roman" w:hAnsi="Times New Roman"/>
          <w:sz w:val="18"/>
        </w:rPr>
        <w:t>12. Zhao, Y. et al. Experimental evidence of room-temperature ferromagnetism in semiconducting MnS2. Journal of the American Chemical Society 147, 31212-31220 (2025).</w:t>
      </w:r>
    </w:p>
    <w:p>
      <w:pPr>
        <w:spacing w:after="40"/>
        <w:ind w:left="360" w:hanging="360"/>
      </w:pPr>
      <w:r>
        <w:rPr>
          <w:rFonts w:ascii="Times New Roman" w:hAnsi="Times New Roman"/>
          <w:sz w:val="18"/>
        </w:rPr>
        <w:t>13. Xu, J., Phelan, W. A. &amp; Chien, C.-L. Large anomalous Nernst effect in a van der Waals ferromagnet Fe3GeTe2. Nano Letters 19, 8250-8254 (2019).</w:t>
      </w:r>
    </w:p>
    <w:p>
      <w:pPr>
        <w:spacing w:after="40"/>
        <w:ind w:left="360" w:hanging="360"/>
      </w:pPr>
      <w:r>
        <w:rPr>
          <w:rFonts w:ascii="Times New Roman" w:hAnsi="Times New Roman"/>
          <w:sz w:val="18"/>
        </w:rPr>
        <w:t>14. Ryu, J., Lee, S., Lee, K.-J. &amp; Park, B.-G. Current-induced spin-orbit torques for spintronic applications. Advanced Materials 32, 1907148 (2020).</w:t>
      </w:r>
    </w:p>
    <w:p>
      <w:pPr>
        <w:spacing w:after="40"/>
        <w:ind w:left="360" w:hanging="360"/>
      </w:pPr>
      <w:r>
        <w:rPr>
          <w:rFonts w:ascii="Times New Roman" w:hAnsi="Times New Roman"/>
          <w:sz w:val="18"/>
        </w:rPr>
        <w:t>15. Qi, X.-L. &amp; Zhang, S.-C. Topological insulators and superconductors. Reviews of Modern Physics 83, 1057-1110 (2011).</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6"/>
      </w:rPr>
      <w:t xml:space="preserve">Confidential — For Review Purposes Only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1F4E79"/>
        <w:sz w:val="17"/>
      </w:rPr>
      <w:t>Research Proposal | 2D Ferromagnetic Materials at Room Temperature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rPr>
      <w:rFonts w:ascii="Times New Roman" w:hAnsi="Times New Roman"/>
      <w:sz w:val="21"/>
    </w:rPr>
  </w:style>
  <w:style w:type="paragraph" w:customStyle="1" w:styleId="SectionHeading">
    <w:name w:val="Section Heading"/>
  </w:style>
  <w:style w:type="paragraph" w:customStyle="1" w:styleId="SubsectionHeading">
    <w:name w:val="Subsection Heading"/>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