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EBC6" w14:textId="77777777" w:rsidR="005636A6" w:rsidRDefault="00000000">
      <w:pPr>
        <w:spacing w:before="400" w:after="80"/>
        <w:jc w:val="center"/>
      </w:pPr>
      <w:r>
        <w:rPr>
          <w:rFonts w:eastAsia="Arial"/>
          <w:b/>
          <w:bCs/>
          <w:color w:val="1B3A6B"/>
          <w:sz w:val="52"/>
          <w:szCs w:val="52"/>
        </w:rPr>
        <w:t>RESEARCH PROPOSAL</w:t>
      </w:r>
    </w:p>
    <w:p w14:paraId="2543C800" w14:textId="77777777" w:rsidR="005636A6" w:rsidRDefault="00000000">
      <w:pPr>
        <w:spacing w:after="60"/>
        <w:jc w:val="center"/>
      </w:pPr>
      <w:r>
        <w:rPr>
          <w:rFonts w:eastAsia="Arial"/>
          <w:b/>
          <w:bCs/>
          <w:color w:val="2E6DA4"/>
          <w:sz w:val="32"/>
          <w:szCs w:val="32"/>
        </w:rPr>
        <w:t>Growth and Characterization of Two-Dimensional</w:t>
      </w:r>
    </w:p>
    <w:p w14:paraId="345C5CE7" w14:textId="77777777" w:rsidR="005636A6" w:rsidRDefault="00000000">
      <w:pPr>
        <w:spacing w:after="300"/>
        <w:jc w:val="center"/>
      </w:pPr>
      <w:r>
        <w:rPr>
          <w:rFonts w:eastAsia="Arial"/>
          <w:b/>
          <w:bCs/>
          <w:color w:val="2E6DA4"/>
          <w:sz w:val="32"/>
          <w:szCs w:val="32"/>
        </w:rPr>
        <w:t>Ferromagnetic Materials at Room Temperature</w:t>
      </w:r>
    </w:p>
    <w:p w14:paraId="5664C689" w14:textId="4B72DC30" w:rsidR="005636A6" w:rsidRDefault="005636A6">
      <w:pPr>
        <w:spacing w:after="400"/>
        <w:jc w:val="center"/>
      </w:pPr>
    </w:p>
    <w:p w14:paraId="28B23F1F" w14:textId="77777777" w:rsidR="005636A6" w:rsidRDefault="005636A6">
      <w:pPr>
        <w:spacing w:after="80"/>
      </w:pPr>
    </w:p>
    <w:p w14:paraId="592C4E05" w14:textId="77777777" w:rsidR="005636A6" w:rsidRDefault="00000000">
      <w:pPr>
        <w:pStyle w:val="Heading1"/>
        <w:shd w:val="clear" w:color="auto" w:fill="1B3A6B"/>
        <w:spacing w:before="300" w:after="160"/>
        <w:ind w:left="160" w:right="160"/>
      </w:pPr>
      <w:r>
        <w:rPr>
          <w:color w:val="FFFFFF"/>
        </w:rPr>
        <w:t>1. Abstract</w:t>
      </w:r>
    </w:p>
    <w:p w14:paraId="13B9F3C8" w14:textId="77777777" w:rsidR="005636A6" w:rsidRDefault="00000000">
      <w:pPr>
        <w:spacing w:after="180"/>
        <w:jc w:val="both"/>
      </w:pPr>
      <w:r>
        <w:rPr>
          <w:rFonts w:eastAsia="Arial"/>
        </w:rPr>
        <w:t>The discovery of long-range ferromagnetic order in atomically thin van der Waals (</w:t>
      </w:r>
      <w:proofErr w:type="spellStart"/>
      <w:r>
        <w:rPr>
          <w:rFonts w:eastAsia="Arial"/>
        </w:rPr>
        <w:t>vdW</w:t>
      </w:r>
      <w:proofErr w:type="spellEnd"/>
      <w:r>
        <w:rPr>
          <w:rFonts w:eastAsia="Arial"/>
        </w:rPr>
        <w:t xml:space="preserve">) crystals has opened a transformative frontier in condensed matter physics and quantum materials engineering. While landmark observations of 2D ferromagnetism in </w:t>
      </w:r>
      <w:proofErr w:type="spellStart"/>
      <w:r>
        <w:rPr>
          <w:rFonts w:eastAsia="Arial"/>
        </w:rPr>
        <w:t>Cr₂Ge₂Te</w:t>
      </w:r>
      <w:proofErr w:type="spellEnd"/>
      <w:r>
        <w:rPr>
          <w:rFonts w:eastAsia="Arial"/>
        </w:rPr>
        <w:t xml:space="preserve">₆ and </w:t>
      </w:r>
      <w:proofErr w:type="spellStart"/>
      <w:r>
        <w:rPr>
          <w:rFonts w:eastAsia="Arial"/>
        </w:rPr>
        <w:t>CrI</w:t>
      </w:r>
      <w:proofErr w:type="spellEnd"/>
      <w:r>
        <w:rPr>
          <w:rFonts w:eastAsia="Arial"/>
        </w:rPr>
        <w:t xml:space="preserve">₃ were achieved only under cryogenic conditions, the field has advanced decisively toward room-temperature operation. Recent breakthroughs in 2025–2026 — including the experimental realization of room-temperature ferromagnetism in semiconducting </w:t>
      </w:r>
      <w:proofErr w:type="spellStart"/>
      <w:r>
        <w:rPr>
          <w:rFonts w:eastAsia="Arial"/>
        </w:rPr>
        <w:t>MnS</w:t>
      </w:r>
      <w:proofErr w:type="spellEnd"/>
      <w:r>
        <w:rPr>
          <w:rFonts w:eastAsia="Arial"/>
        </w:rPr>
        <w:t xml:space="preserve">₂ via template-assisted CVD, above-room-temperature ferromagnetism in </w:t>
      </w:r>
      <w:proofErr w:type="spellStart"/>
      <w:r>
        <w:rPr>
          <w:rFonts w:eastAsia="Arial"/>
        </w:rPr>
        <w:t>Fe₃GaTe</w:t>
      </w:r>
      <w:proofErr w:type="spellEnd"/>
      <w:r>
        <w:rPr>
          <w:rFonts w:eastAsia="Arial"/>
        </w:rPr>
        <w:t xml:space="preserve">₂ with record perpendicular magnetic anisotropy, and vacancy-engineered ferromagnetism in </w:t>
      </w:r>
      <w:proofErr w:type="spellStart"/>
      <w:r>
        <w:rPr>
          <w:rFonts w:eastAsia="Arial"/>
        </w:rPr>
        <w:t>MBene</w:t>
      </w:r>
      <w:proofErr w:type="spellEnd"/>
      <w:r>
        <w:rPr>
          <w:rFonts w:eastAsia="Arial"/>
        </w:rPr>
        <w:t xml:space="preserve"> nanosheets — signal that practical 2D spintronic devices are now within reach. Critical barriers remain: scalable synthesis routes compatible with semiconductor fabrication, understanding of how defects and dimensionality govern Tᶜ, and reliable multi-technique characterization protocols for sub-nanometer magnetic films.</w:t>
      </w:r>
    </w:p>
    <w:p w14:paraId="5FC9EA97" w14:textId="77777777" w:rsidR="005636A6" w:rsidRDefault="00000000">
      <w:pPr>
        <w:spacing w:after="180"/>
        <w:jc w:val="both"/>
      </w:pPr>
      <w:r>
        <w:rPr>
          <w:rFonts w:eastAsia="Arial"/>
        </w:rPr>
        <w:t>This proposal requests support for a program to: (</w:t>
      </w:r>
      <w:proofErr w:type="spellStart"/>
      <w:r>
        <w:rPr>
          <w:rFonts w:eastAsia="Arial"/>
        </w:rPr>
        <w:t>i</w:t>
      </w:r>
      <w:proofErr w:type="spellEnd"/>
      <w:r>
        <w:rPr>
          <w:rFonts w:eastAsia="Arial"/>
        </w:rPr>
        <w:t xml:space="preserve">) develop MBE and CVD protocols for large-area growth of </w:t>
      </w:r>
      <w:proofErr w:type="spellStart"/>
      <w:r>
        <w:rPr>
          <w:rFonts w:eastAsia="Arial"/>
        </w:rPr>
        <w:t>CrTe</w:t>
      </w:r>
      <w:proofErr w:type="spellEnd"/>
      <w:r>
        <w:rPr>
          <w:rFonts w:eastAsia="Arial"/>
        </w:rPr>
        <w:t xml:space="preserve">₂, </w:t>
      </w:r>
      <w:proofErr w:type="spellStart"/>
      <w:r>
        <w:rPr>
          <w:rFonts w:eastAsia="Arial"/>
        </w:rPr>
        <w:t>Fe₃GaTe</w:t>
      </w:r>
      <w:proofErr w:type="spellEnd"/>
      <w:r>
        <w:rPr>
          <w:rFonts w:eastAsia="Arial"/>
        </w:rPr>
        <w:t xml:space="preserve">₂, </w:t>
      </w:r>
      <w:proofErr w:type="spellStart"/>
      <w:r>
        <w:rPr>
          <w:rFonts w:eastAsia="Arial"/>
        </w:rPr>
        <w:t>MnS</w:t>
      </w:r>
      <w:proofErr w:type="spellEnd"/>
      <w:r>
        <w:rPr>
          <w:rFonts w:eastAsia="Arial"/>
        </w:rPr>
        <w:t xml:space="preserve">₂, and </w:t>
      </w:r>
      <w:proofErr w:type="spellStart"/>
      <w:r>
        <w:rPr>
          <w:rFonts w:eastAsia="Arial"/>
        </w:rPr>
        <w:t>MBene</w:t>
      </w:r>
      <w:proofErr w:type="spellEnd"/>
      <w:r>
        <w:rPr>
          <w:rFonts w:eastAsia="Arial"/>
        </w:rPr>
        <w:t xml:space="preserve"> films; (ii) characterize structural, electronic, and magnetic properties via STEM, ARPES, SQUID, MOKE, XMCD, and MFM; and (iii) fabricate proof-of-concept spintronic devices to evaluate anomalous Hall effect, spin–orbit torque switching, and tunneling magnetoresistance at room temperature.</w:t>
      </w:r>
    </w:p>
    <w:p w14:paraId="60397FC4" w14:textId="77777777" w:rsidR="005636A6" w:rsidRDefault="00000000">
      <w:pPr>
        <w:pStyle w:val="Heading1"/>
        <w:shd w:val="clear" w:color="auto" w:fill="1B3A6B"/>
        <w:spacing w:before="300" w:after="160"/>
        <w:ind w:left="160" w:right="160"/>
      </w:pPr>
      <w:r>
        <w:rPr>
          <w:color w:val="FFFFFF"/>
        </w:rPr>
        <w:t>2. Background and Significance</w:t>
      </w:r>
    </w:p>
    <w:p w14:paraId="18E76509" w14:textId="77777777" w:rsidR="005636A6" w:rsidRDefault="00000000">
      <w:pPr>
        <w:pStyle w:val="Heading2"/>
        <w:pBdr>
          <w:bottom w:val="single" w:sz="4" w:space="2" w:color="2E6DA4"/>
        </w:pBdr>
        <w:spacing w:before="240"/>
      </w:pPr>
      <w:proofErr w:type="gramStart"/>
      <w:r>
        <w:rPr>
          <w:color w:val="2E6DA4"/>
        </w:rPr>
        <w:t>2.1  The</w:t>
      </w:r>
      <w:proofErr w:type="gramEnd"/>
      <w:r>
        <w:rPr>
          <w:color w:val="2E6DA4"/>
        </w:rPr>
        <w:t xml:space="preserve"> Mermin–Wagner Challenge and Magnetic Anisotropy</w:t>
      </w:r>
    </w:p>
    <w:p w14:paraId="001BD427" w14:textId="77777777" w:rsidR="005636A6" w:rsidRDefault="00000000">
      <w:pPr>
        <w:spacing w:after="160"/>
        <w:jc w:val="both"/>
      </w:pPr>
      <w:r>
        <w:rPr>
          <w:rFonts w:eastAsia="Arial"/>
        </w:rPr>
        <w:t xml:space="preserve">The Mermin–Wagner theorem predicts that isotropic 2D Heisenberg systems cannot sustain long-range magnetic order at finite temperature due to magnon fluctuations. This constraint is circumvented by magnetic anisotropy: single-ion anisotropy (as in </w:t>
      </w:r>
      <w:proofErr w:type="spellStart"/>
      <w:r>
        <w:rPr>
          <w:rFonts w:eastAsia="Arial"/>
        </w:rPr>
        <w:t>CrI</w:t>
      </w:r>
      <w:proofErr w:type="spellEnd"/>
      <w:r>
        <w:rPr>
          <w:rFonts w:eastAsia="Arial"/>
        </w:rPr>
        <w:t xml:space="preserve">₃) or itinerant exchange (as in Fe-based </w:t>
      </w:r>
      <w:proofErr w:type="spellStart"/>
      <w:r>
        <w:rPr>
          <w:rFonts w:eastAsia="Arial"/>
        </w:rPr>
        <w:t>vdW</w:t>
      </w:r>
      <w:proofErr w:type="spellEnd"/>
      <w:r>
        <w:rPr>
          <w:rFonts w:eastAsia="Arial"/>
        </w:rPr>
        <w:t xml:space="preserve"> metals) opens a gap in the magnon spectrum, quenching divergent fluctuations. This physical insight drives all contemporary design strategies for room-temperature 2D ferromagnets.</w:t>
      </w:r>
    </w:p>
    <w:p w14:paraId="46A69364" w14:textId="77777777" w:rsidR="005636A6" w:rsidRDefault="00000000">
      <w:pPr>
        <w:pStyle w:val="Heading2"/>
        <w:pBdr>
          <w:bottom w:val="single" w:sz="4" w:space="2" w:color="2E6DA4"/>
        </w:pBdr>
        <w:spacing w:before="240"/>
      </w:pPr>
      <w:proofErr w:type="gramStart"/>
      <w:r>
        <w:rPr>
          <w:color w:val="2E6DA4"/>
        </w:rPr>
        <w:t>2.2  State</w:t>
      </w:r>
      <w:proofErr w:type="gramEnd"/>
      <w:r>
        <w:rPr>
          <w:color w:val="2E6DA4"/>
        </w:rPr>
        <w:t xml:space="preserve"> of the Art (2024–2026)</w:t>
      </w:r>
    </w:p>
    <w:p w14:paraId="7F713825" w14:textId="77777777" w:rsidR="005636A6" w:rsidRDefault="00000000">
      <w:pPr>
        <w:spacing w:after="100"/>
      </w:pPr>
      <w:r>
        <w:rPr>
          <w:rFonts w:eastAsia="Arial"/>
        </w:rPr>
        <w:t>The field has undergone rapid evolution. Key results from recent literature include:</w:t>
      </w:r>
    </w:p>
    <w:p w14:paraId="3583E358" w14:textId="77777777" w:rsidR="005636A6" w:rsidRDefault="00000000">
      <w:pPr>
        <w:pStyle w:val="ListParagraph"/>
        <w:numPr>
          <w:ilvl w:val="0"/>
          <w:numId w:val="2"/>
        </w:numPr>
        <w:spacing w:after="120"/>
      </w:pPr>
      <w:proofErr w:type="spellStart"/>
      <w:r>
        <w:rPr>
          <w:rFonts w:eastAsia="Arial"/>
          <w:b/>
          <w:bCs/>
        </w:rPr>
        <w:t>MnS</w:t>
      </w:r>
      <w:proofErr w:type="spellEnd"/>
      <w:r>
        <w:rPr>
          <w:rFonts w:eastAsia="Arial"/>
          <w:b/>
          <w:bCs/>
        </w:rPr>
        <w:t xml:space="preserve">₂ (JACS 2025): </w:t>
      </w:r>
      <w:r>
        <w:rPr>
          <w:rFonts w:eastAsia="Arial"/>
        </w:rPr>
        <w:t xml:space="preserve">Qu et al. demonstrated the first experimental evidence of room-temperature ferromagnetism in a 2D semiconducting material using template-assisted CVD within a </w:t>
      </w:r>
      <w:proofErr w:type="spellStart"/>
      <w:r>
        <w:rPr>
          <w:rFonts w:eastAsia="Arial"/>
        </w:rPr>
        <w:t>ReS</w:t>
      </w:r>
      <w:proofErr w:type="spellEnd"/>
      <w:r>
        <w:rPr>
          <w:rFonts w:eastAsia="Arial"/>
        </w:rPr>
        <w:t xml:space="preserve">₂ matrix. Distorted T-phase monolayer </w:t>
      </w:r>
      <w:proofErr w:type="spellStart"/>
      <w:r>
        <w:rPr>
          <w:rFonts w:eastAsia="Arial"/>
        </w:rPr>
        <w:t>MnS</w:t>
      </w:r>
      <w:proofErr w:type="spellEnd"/>
      <w:r>
        <w:rPr>
          <w:rFonts w:eastAsia="Arial"/>
        </w:rPr>
        <w:t xml:space="preserve">₂ was confirmed ferromagnetic via VSM, </w:t>
      </w:r>
      <w:proofErr w:type="spellStart"/>
      <w:r>
        <w:rPr>
          <w:rFonts w:eastAsia="Arial"/>
        </w:rPr>
        <w:t>microzone</w:t>
      </w:r>
      <w:proofErr w:type="spellEnd"/>
      <w:r>
        <w:rPr>
          <w:rFonts w:eastAsia="Arial"/>
        </w:rPr>
        <w:t xml:space="preserve"> magnetism imaging, and transport — a major advance for spintronics in-memory computing (JACS 2025).</w:t>
      </w:r>
    </w:p>
    <w:p w14:paraId="1FB58335" w14:textId="77777777" w:rsidR="005636A6" w:rsidRDefault="00000000">
      <w:pPr>
        <w:pStyle w:val="ListParagraph"/>
        <w:numPr>
          <w:ilvl w:val="0"/>
          <w:numId w:val="2"/>
        </w:numPr>
        <w:spacing w:after="120"/>
      </w:pPr>
      <w:proofErr w:type="spellStart"/>
      <w:r>
        <w:rPr>
          <w:rFonts w:eastAsia="Arial"/>
          <w:b/>
          <w:bCs/>
        </w:rPr>
        <w:lastRenderedPageBreak/>
        <w:t>Fe₃GaTe</w:t>
      </w:r>
      <w:proofErr w:type="spellEnd"/>
      <w:r>
        <w:rPr>
          <w:rFonts w:eastAsia="Arial"/>
          <w:b/>
          <w:bCs/>
        </w:rPr>
        <w:t xml:space="preserve">₂: </w:t>
      </w:r>
      <w:r>
        <w:rPr>
          <w:rFonts w:eastAsia="Arial"/>
        </w:rPr>
        <w:t xml:space="preserve">Zhang et al. reported </w:t>
      </w:r>
      <w:proofErr w:type="spellStart"/>
      <w:r>
        <w:rPr>
          <w:rFonts w:eastAsia="Arial"/>
        </w:rPr>
        <w:t>Fe₃GaTe</w:t>
      </w:r>
      <w:proofErr w:type="spellEnd"/>
      <w:r>
        <w:rPr>
          <w:rFonts w:eastAsia="Arial"/>
        </w:rPr>
        <w:t xml:space="preserve">₂ with record Tᶜ of 350–380 K for known 2D </w:t>
      </w:r>
      <w:proofErr w:type="spellStart"/>
      <w:r>
        <w:rPr>
          <w:rFonts w:eastAsia="Arial"/>
        </w:rPr>
        <w:t>vdW</w:t>
      </w:r>
      <w:proofErr w:type="spellEnd"/>
      <w:r>
        <w:rPr>
          <w:rFonts w:eastAsia="Arial"/>
        </w:rPr>
        <w:t xml:space="preserve"> intrinsic ferromagnets, large perpendicular magnetic anisotropy energy (~4.79 × 10⁵ J/m³), and anomalous Hall angle of 3% at room temperature. ARPES and DFT clarified the microscopic origin: shift of localized Fe d bands toward the Fermi level.</w:t>
      </w:r>
    </w:p>
    <w:p w14:paraId="117752BC" w14:textId="77777777" w:rsidR="005636A6" w:rsidRDefault="00000000">
      <w:pPr>
        <w:pStyle w:val="ListParagraph"/>
        <w:numPr>
          <w:ilvl w:val="0"/>
          <w:numId w:val="2"/>
        </w:numPr>
        <w:spacing w:after="120"/>
      </w:pPr>
      <w:proofErr w:type="spellStart"/>
      <w:r>
        <w:rPr>
          <w:rFonts w:eastAsia="Arial"/>
          <w:b/>
          <w:bCs/>
        </w:rPr>
        <w:t>CrTe</w:t>
      </w:r>
      <w:proofErr w:type="spellEnd"/>
      <w:r>
        <w:rPr>
          <w:rFonts w:eastAsia="Arial"/>
          <w:b/>
          <w:bCs/>
        </w:rPr>
        <w:t xml:space="preserve">₂: </w:t>
      </w:r>
      <w:r>
        <w:rPr>
          <w:rFonts w:eastAsia="Arial"/>
        </w:rPr>
        <w:t xml:space="preserve">Zhang et al. (Nat. Commun. 2021) achieved intrinsic ferromagnetism with Tᶜ up to 300 K in few-layer </w:t>
      </w:r>
      <w:proofErr w:type="spellStart"/>
      <w:r>
        <w:rPr>
          <w:rFonts w:eastAsia="Arial"/>
        </w:rPr>
        <w:t>CrTe</w:t>
      </w:r>
      <w:proofErr w:type="spellEnd"/>
      <w:r>
        <w:rPr>
          <w:rFonts w:eastAsia="Arial"/>
        </w:rPr>
        <w:t>₂ grown by MBE on bilayer graphene, with strong perpendicular magnetic anisotropy confirmed by SQUID and XMCD. Ferromagnetic order persists to monolayer (Tᶜ ~200 K).</w:t>
      </w:r>
    </w:p>
    <w:p w14:paraId="29ADBEE7" w14:textId="77777777" w:rsidR="005636A6" w:rsidRDefault="00000000">
      <w:pPr>
        <w:pStyle w:val="ListParagraph"/>
        <w:numPr>
          <w:ilvl w:val="0"/>
          <w:numId w:val="2"/>
        </w:numPr>
        <w:spacing w:after="120"/>
      </w:pPr>
      <w:proofErr w:type="spellStart"/>
      <w:r>
        <w:rPr>
          <w:rFonts w:eastAsia="Arial"/>
          <w:b/>
          <w:bCs/>
        </w:rPr>
        <w:t>MBene</w:t>
      </w:r>
      <w:proofErr w:type="spellEnd"/>
      <w:r>
        <w:rPr>
          <w:rFonts w:eastAsia="Arial"/>
          <w:b/>
          <w:bCs/>
        </w:rPr>
        <w:t xml:space="preserve"> vacancy engineering: </w:t>
      </w:r>
      <w:r>
        <w:rPr>
          <w:rFonts w:eastAsia="Arial"/>
        </w:rPr>
        <w:t xml:space="preserve">Room-temperature ferromagnetism was activated in Mo₄/₃B₂ </w:t>
      </w:r>
      <w:proofErr w:type="spellStart"/>
      <w:r>
        <w:rPr>
          <w:rFonts w:eastAsia="Arial"/>
        </w:rPr>
        <w:t>MBene</w:t>
      </w:r>
      <w:proofErr w:type="spellEnd"/>
      <w:r>
        <w:rPr>
          <w:rFonts w:eastAsia="Arial"/>
        </w:rPr>
        <w:t xml:space="preserve"> nanosheets through deliberate Mo-vacancy creation, confirmed by first-principles showing spontaneous spin splitting near the Fermi level (Adv. Mater. 2024).</w:t>
      </w:r>
    </w:p>
    <w:p w14:paraId="09817E23" w14:textId="77777777" w:rsidR="005636A6" w:rsidRDefault="00000000">
      <w:pPr>
        <w:pStyle w:val="ListParagraph"/>
        <w:numPr>
          <w:ilvl w:val="0"/>
          <w:numId w:val="2"/>
        </w:numPr>
        <w:spacing w:after="120"/>
      </w:pPr>
      <w:proofErr w:type="spellStart"/>
      <w:r>
        <w:rPr>
          <w:rFonts w:eastAsia="Arial"/>
          <w:b/>
          <w:bCs/>
        </w:rPr>
        <w:t>FeSb</w:t>
      </w:r>
      <w:proofErr w:type="spellEnd"/>
      <w:r>
        <w:rPr>
          <w:rFonts w:eastAsia="Arial"/>
          <w:b/>
          <w:bCs/>
        </w:rPr>
        <w:t xml:space="preserve"> / </w:t>
      </w:r>
      <w:proofErr w:type="spellStart"/>
      <w:r>
        <w:rPr>
          <w:rFonts w:eastAsia="Arial"/>
          <w:b/>
          <w:bCs/>
        </w:rPr>
        <w:t>SrTiO</w:t>
      </w:r>
      <w:proofErr w:type="spellEnd"/>
      <w:r>
        <w:rPr>
          <w:rFonts w:eastAsia="Arial"/>
          <w:b/>
          <w:bCs/>
        </w:rPr>
        <w:t xml:space="preserve">₃: </w:t>
      </w:r>
      <w:r>
        <w:rPr>
          <w:rFonts w:eastAsia="Arial"/>
        </w:rPr>
        <w:t xml:space="preserve">Epitaxial bilayer </w:t>
      </w:r>
      <w:proofErr w:type="spellStart"/>
      <w:r>
        <w:rPr>
          <w:rFonts w:eastAsia="Arial"/>
        </w:rPr>
        <w:t>FeSb</w:t>
      </w:r>
      <w:proofErr w:type="spellEnd"/>
      <w:r>
        <w:rPr>
          <w:rFonts w:eastAsia="Arial"/>
        </w:rPr>
        <w:t xml:space="preserve"> on </w:t>
      </w:r>
      <w:proofErr w:type="spellStart"/>
      <w:r>
        <w:rPr>
          <w:rFonts w:eastAsia="Arial"/>
        </w:rPr>
        <w:t>SrTiO</w:t>
      </w:r>
      <w:proofErr w:type="spellEnd"/>
      <w:proofErr w:type="gramStart"/>
      <w:r>
        <w:rPr>
          <w:rFonts w:eastAsia="Arial"/>
        </w:rPr>
        <w:t>₃(</w:t>
      </w:r>
      <w:proofErr w:type="gramEnd"/>
      <w:r>
        <w:rPr>
          <w:rFonts w:eastAsia="Arial"/>
        </w:rPr>
        <w:t>001) exhibits in-plane ferromagnetism above 390 K — the highest Tᶜ for a 2D ferromagnet to date — with an Fe Kagome surface layer revealed by LT-STM and DFT.</w:t>
      </w:r>
    </w:p>
    <w:p w14:paraId="47D0AC80" w14:textId="77777777" w:rsidR="005636A6" w:rsidRDefault="00000000">
      <w:pPr>
        <w:pStyle w:val="ListParagraph"/>
        <w:numPr>
          <w:ilvl w:val="0"/>
          <w:numId w:val="2"/>
        </w:numPr>
        <w:spacing w:after="120"/>
      </w:pPr>
      <w:proofErr w:type="spellStart"/>
      <w:r>
        <w:rPr>
          <w:rFonts w:eastAsia="Arial"/>
          <w:b/>
          <w:bCs/>
        </w:rPr>
        <w:t>Fe₅GeTe</w:t>
      </w:r>
      <w:proofErr w:type="spellEnd"/>
      <w:r>
        <w:rPr>
          <w:rFonts w:eastAsia="Arial"/>
          <w:b/>
          <w:bCs/>
        </w:rPr>
        <w:t xml:space="preserve">₂ heterostructures: </w:t>
      </w:r>
      <w:r>
        <w:rPr>
          <w:rFonts w:eastAsia="Arial"/>
        </w:rPr>
        <w:t xml:space="preserve">Large-area </w:t>
      </w:r>
      <w:proofErr w:type="spellStart"/>
      <w:r>
        <w:rPr>
          <w:rFonts w:eastAsia="Arial"/>
        </w:rPr>
        <w:t>vdW</w:t>
      </w:r>
      <w:proofErr w:type="spellEnd"/>
      <w:r>
        <w:rPr>
          <w:rFonts w:eastAsia="Arial"/>
        </w:rPr>
        <w:t xml:space="preserve"> epitaxy of Fe₅₋</w:t>
      </w:r>
      <w:proofErr w:type="spellStart"/>
      <w:r>
        <w:rPr>
          <w:rFonts w:eastAsia="Arial"/>
        </w:rPr>
        <w:t>xGeTe</w:t>
      </w:r>
      <w:proofErr w:type="spellEnd"/>
      <w:r>
        <w:rPr>
          <w:rFonts w:eastAsia="Arial"/>
        </w:rPr>
        <w:t>₂ on epitaxial graphene with ferromagnetic order above 300 K and perpendicular magnetic anisotropy was demonstrated, providing a scalable route toward device integration.</w:t>
      </w:r>
    </w:p>
    <w:p w14:paraId="2B7695A6" w14:textId="77777777" w:rsidR="005636A6" w:rsidRDefault="00000000">
      <w:pPr>
        <w:pStyle w:val="ListParagraph"/>
        <w:numPr>
          <w:ilvl w:val="0"/>
          <w:numId w:val="2"/>
        </w:numPr>
        <w:spacing w:after="120"/>
      </w:pPr>
      <w:r>
        <w:rPr>
          <w:rFonts w:eastAsia="Arial"/>
          <w:b/>
          <w:bCs/>
        </w:rPr>
        <w:t xml:space="preserve">SOT review 2026: </w:t>
      </w:r>
      <w:r>
        <w:rPr>
          <w:rFonts w:eastAsia="Arial"/>
        </w:rPr>
        <w:t xml:space="preserve">A comprehensive 2026 review (Adv. </w:t>
      </w:r>
      <w:proofErr w:type="spellStart"/>
      <w:r>
        <w:rPr>
          <w:rFonts w:eastAsia="Arial"/>
        </w:rPr>
        <w:t>Funct</w:t>
      </w:r>
      <w:proofErr w:type="spellEnd"/>
      <w:r>
        <w:rPr>
          <w:rFonts w:eastAsia="Arial"/>
        </w:rPr>
        <w:t xml:space="preserve">. Mater.) confirmed that </w:t>
      </w:r>
      <w:proofErr w:type="spellStart"/>
      <w:r>
        <w:rPr>
          <w:rFonts w:eastAsia="Arial"/>
        </w:rPr>
        <w:t>vdW</w:t>
      </w:r>
      <w:proofErr w:type="spellEnd"/>
      <w:r>
        <w:rPr>
          <w:rFonts w:eastAsia="Arial"/>
        </w:rPr>
        <w:t xml:space="preserve"> ferromagnets interfaced with high-SOT conductors show sizable current-assisted magnetization reversal, and that wafer-scale MBE or sputtered topological films maintain large spin-charge conversion at room temperature.</w:t>
      </w:r>
    </w:p>
    <w:p w14:paraId="7F57D166" w14:textId="77777777" w:rsidR="005636A6" w:rsidRDefault="005636A6">
      <w:pPr>
        <w:spacing w:after="80"/>
      </w:pPr>
    </w:p>
    <w:p w14:paraId="67093CEC" w14:textId="77777777" w:rsidR="005636A6" w:rsidRDefault="00000000">
      <w:pPr>
        <w:pStyle w:val="Heading2"/>
        <w:pBdr>
          <w:bottom w:val="single" w:sz="4" w:space="2" w:color="2E6DA4"/>
        </w:pBdr>
        <w:spacing w:before="240"/>
      </w:pPr>
      <w:proofErr w:type="gramStart"/>
      <w:r>
        <w:rPr>
          <w:color w:val="2E6DA4"/>
        </w:rPr>
        <w:t>2.3  Critical</w:t>
      </w:r>
      <w:proofErr w:type="gramEnd"/>
      <w:r>
        <w:rPr>
          <w:color w:val="2E6DA4"/>
        </w:rPr>
        <w:t xml:space="preserve"> Knowledge Gaps</w:t>
      </w:r>
    </w:p>
    <w:p w14:paraId="68732823" w14:textId="77777777" w:rsidR="005636A6" w:rsidRDefault="00000000">
      <w:pPr>
        <w:spacing w:after="100"/>
      </w:pPr>
      <w:r>
        <w:rPr>
          <w:rFonts w:eastAsia="Arial"/>
        </w:rPr>
        <w:t>Despite these advances, four central challenges limit practical deployment:</w:t>
      </w:r>
    </w:p>
    <w:p w14:paraId="24D7B0F7" w14:textId="77777777" w:rsidR="005636A6" w:rsidRDefault="00000000">
      <w:pPr>
        <w:pStyle w:val="ListParagraph"/>
        <w:numPr>
          <w:ilvl w:val="0"/>
          <w:numId w:val="2"/>
        </w:numPr>
        <w:spacing w:after="100"/>
      </w:pPr>
      <w:r>
        <w:rPr>
          <w:rFonts w:eastAsia="Arial"/>
        </w:rPr>
        <w:t>Scalability: most room-temperature 2D ferromagnets are characterized on exfoliated flakes (micrometer-scale); wafer-scale synthesis with uniform stoichiometry and defect density remains unrealized for most candidates.</w:t>
      </w:r>
    </w:p>
    <w:p w14:paraId="01ACBCF1" w14:textId="77777777" w:rsidR="005636A6" w:rsidRDefault="00000000">
      <w:pPr>
        <w:pStyle w:val="ListParagraph"/>
        <w:numPr>
          <w:ilvl w:val="0"/>
          <w:numId w:val="2"/>
        </w:numPr>
        <w:spacing w:after="100"/>
      </w:pPr>
      <w:r>
        <w:rPr>
          <w:rFonts w:eastAsia="Arial"/>
        </w:rPr>
        <w:t>Reproducibility: CVD and MBE growth windows are narrow; small variations in flux, temperature, or substrate surface termination dramatically alter magnetic properties.</w:t>
      </w:r>
    </w:p>
    <w:p w14:paraId="5AD9086C" w14:textId="77777777" w:rsidR="005636A6" w:rsidRDefault="00000000">
      <w:pPr>
        <w:pStyle w:val="ListParagraph"/>
        <w:numPr>
          <w:ilvl w:val="0"/>
          <w:numId w:val="2"/>
        </w:numPr>
        <w:spacing w:after="100"/>
      </w:pPr>
      <w:r>
        <w:rPr>
          <w:rFonts w:eastAsia="Arial"/>
        </w:rPr>
        <w:t>Characterization protocols: no community-standard multi-technique protocol exists to distinguish intrinsic ferromagnetism from substrate-induced or defect-driven signals in sub-nm films.</w:t>
      </w:r>
    </w:p>
    <w:p w14:paraId="5324EAC8" w14:textId="77777777" w:rsidR="005636A6" w:rsidRDefault="00000000">
      <w:pPr>
        <w:pStyle w:val="ListParagraph"/>
        <w:numPr>
          <w:ilvl w:val="0"/>
          <w:numId w:val="2"/>
        </w:numPr>
        <w:spacing w:after="100"/>
      </w:pPr>
      <w:r>
        <w:rPr>
          <w:rFonts w:eastAsia="Arial"/>
        </w:rPr>
        <w:t>Device integration: spin injection efficiency, contact resistance, and thermal stability at CMOS-compatible temperatures remain poorly characterized.</w:t>
      </w:r>
    </w:p>
    <w:p w14:paraId="4A4FD971" w14:textId="77777777" w:rsidR="005636A6" w:rsidRDefault="005636A6">
      <w:pPr>
        <w:spacing w:after="80"/>
      </w:pPr>
    </w:p>
    <w:p w14:paraId="74559545" w14:textId="77777777" w:rsidR="005636A6" w:rsidRDefault="00000000">
      <w:pPr>
        <w:pStyle w:val="Heading1"/>
        <w:shd w:val="clear" w:color="auto" w:fill="1B3A6B"/>
        <w:spacing w:before="300" w:after="160"/>
        <w:ind w:left="160" w:right="160"/>
      </w:pPr>
      <w:r>
        <w:rPr>
          <w:color w:val="FFFFFF"/>
        </w:rPr>
        <w:t>3. Research Objectives and Specific Aims</w:t>
      </w:r>
    </w:p>
    <w:p w14:paraId="124C7460" w14:textId="77777777" w:rsidR="005636A6" w:rsidRDefault="00000000">
      <w:pPr>
        <w:spacing w:after="140"/>
      </w:pPr>
      <w:r>
        <w:rPr>
          <w:rFonts w:eastAsia="Arial"/>
        </w:rPr>
        <w:t>This project is organized around three independently valuable aims:</w:t>
      </w:r>
    </w:p>
    <w:p w14:paraId="1A19478A" w14:textId="77777777" w:rsidR="005636A6" w:rsidRDefault="00000000">
      <w:pPr>
        <w:pStyle w:val="Heading3"/>
        <w:spacing w:before="180"/>
      </w:pPr>
      <w:r>
        <w:rPr>
          <w:color w:val="1B3A6B"/>
        </w:rPr>
        <w:t>Aim 1 — Scalable Growth Protocols</w:t>
      </w:r>
    </w:p>
    <w:p w14:paraId="56DA499B" w14:textId="77777777" w:rsidR="005636A6" w:rsidRDefault="00000000">
      <w:pPr>
        <w:spacing w:after="160"/>
        <w:jc w:val="both"/>
      </w:pPr>
      <w:r>
        <w:rPr>
          <w:rFonts w:eastAsia="Arial"/>
          <w:b/>
          <w:bCs/>
        </w:rPr>
        <w:t xml:space="preserve">Goal: </w:t>
      </w:r>
      <w:r>
        <w:rPr>
          <w:rFonts w:eastAsia="Arial"/>
        </w:rPr>
        <w:t xml:space="preserve">Establish reproducible, large-area synthesis routes (MBE and CVD) for </w:t>
      </w:r>
      <w:proofErr w:type="spellStart"/>
      <w:r>
        <w:rPr>
          <w:rFonts w:eastAsia="Arial"/>
        </w:rPr>
        <w:t>CrTe</w:t>
      </w:r>
      <w:proofErr w:type="spellEnd"/>
      <w:r>
        <w:rPr>
          <w:rFonts w:eastAsia="Arial"/>
        </w:rPr>
        <w:t xml:space="preserve">₂, </w:t>
      </w:r>
      <w:proofErr w:type="spellStart"/>
      <w:r>
        <w:rPr>
          <w:rFonts w:eastAsia="Arial"/>
        </w:rPr>
        <w:t>Fe₃GaTe</w:t>
      </w:r>
      <w:proofErr w:type="spellEnd"/>
      <w:r>
        <w:rPr>
          <w:rFonts w:eastAsia="Arial"/>
        </w:rPr>
        <w:t xml:space="preserve">₂, and </w:t>
      </w:r>
      <w:proofErr w:type="spellStart"/>
      <w:r>
        <w:rPr>
          <w:rFonts w:eastAsia="Arial"/>
        </w:rPr>
        <w:t>MnS</w:t>
      </w:r>
      <w:proofErr w:type="spellEnd"/>
      <w:r>
        <w:rPr>
          <w:rFonts w:eastAsia="Arial"/>
        </w:rPr>
        <w:t>₂ films with controlled stoichiometry and thickness down to the monolayer limit. Success metric: continuous single-crystal films with ≤10 nm RMS roughness over ≥1 cm²; Tᶜ within 10% of literature across ≥10 growth runs.</w:t>
      </w:r>
    </w:p>
    <w:p w14:paraId="0F469C4C" w14:textId="77777777" w:rsidR="005636A6" w:rsidRDefault="00000000">
      <w:pPr>
        <w:pStyle w:val="Heading3"/>
        <w:spacing w:before="180"/>
      </w:pPr>
      <w:r>
        <w:rPr>
          <w:color w:val="1B3A6B"/>
        </w:rPr>
        <w:t>Aim 2 — Multi-Technique Characterization</w:t>
      </w:r>
    </w:p>
    <w:p w14:paraId="22E6D30C" w14:textId="77777777" w:rsidR="005636A6" w:rsidRDefault="00000000">
      <w:pPr>
        <w:spacing w:after="160"/>
        <w:jc w:val="both"/>
      </w:pPr>
      <w:r>
        <w:rPr>
          <w:rFonts w:eastAsia="Arial"/>
          <w:b/>
          <w:bCs/>
        </w:rPr>
        <w:lastRenderedPageBreak/>
        <w:t xml:space="preserve">Goal: </w:t>
      </w:r>
      <w:r>
        <w:rPr>
          <w:rFonts w:eastAsia="Arial"/>
        </w:rPr>
        <w:t>Develop and apply a standardized characterization protocol combining STEM, XRD, RHEED (structural), RBS, XPS, EDS (chemical), SQUID, XMCD, MOKE, MFM (magnetic), and ARPES (electronic) to unambiguously establish intrinsic ferromagnetism. Success metric: open-access dataset and protocol document; identification of dominant mechanism linking growth parameter to Tᶜ for each material.</w:t>
      </w:r>
    </w:p>
    <w:p w14:paraId="0C3B391F" w14:textId="77777777" w:rsidR="005636A6" w:rsidRDefault="00000000">
      <w:pPr>
        <w:pStyle w:val="Heading3"/>
        <w:spacing w:before="180"/>
      </w:pPr>
      <w:r>
        <w:rPr>
          <w:color w:val="1B3A6B"/>
        </w:rPr>
        <w:t>Aim 3 — Room-Temperature Spintronic Device Demonstration</w:t>
      </w:r>
    </w:p>
    <w:p w14:paraId="570B11DC" w14:textId="77777777" w:rsidR="005636A6" w:rsidRDefault="00000000">
      <w:pPr>
        <w:spacing w:after="160"/>
        <w:jc w:val="both"/>
      </w:pPr>
      <w:r>
        <w:rPr>
          <w:rFonts w:eastAsia="Arial"/>
          <w:b/>
          <w:bCs/>
        </w:rPr>
        <w:t xml:space="preserve">Goal: </w:t>
      </w:r>
      <w:r>
        <w:rPr>
          <w:rFonts w:eastAsia="Arial"/>
        </w:rPr>
        <w:t xml:space="preserve">Fabricate and measure at least two device architectures: (a) anomalous Hall effect device based on </w:t>
      </w:r>
      <w:proofErr w:type="spellStart"/>
      <w:r>
        <w:rPr>
          <w:rFonts w:eastAsia="Arial"/>
        </w:rPr>
        <w:t>Fe₃GaTe</w:t>
      </w:r>
      <w:proofErr w:type="spellEnd"/>
      <w:r>
        <w:rPr>
          <w:rFonts w:eastAsia="Arial"/>
        </w:rPr>
        <w:t>₂ switching above 300 K; (b) 2D magnetic tunnel junction targeting TMR ratio &gt;30% at 300 K. Success metric: repeatable switching in ≥10 devices; TMR benchmarked against state-of-the-art.</w:t>
      </w:r>
    </w:p>
    <w:p w14:paraId="5EB8F638" w14:textId="77777777" w:rsidR="005636A6" w:rsidRDefault="00000000">
      <w:pPr>
        <w:pStyle w:val="Heading1"/>
        <w:shd w:val="clear" w:color="auto" w:fill="1B3A6B"/>
        <w:spacing w:before="300" w:after="160"/>
        <w:ind w:left="160" w:right="160"/>
      </w:pPr>
      <w:r>
        <w:rPr>
          <w:color w:val="FFFFFF"/>
        </w:rPr>
        <w:t>4. Research Methodology</w:t>
      </w:r>
    </w:p>
    <w:p w14:paraId="78CA9F40" w14:textId="77777777" w:rsidR="005636A6" w:rsidRDefault="00000000">
      <w:pPr>
        <w:pStyle w:val="Heading2"/>
        <w:pBdr>
          <w:bottom w:val="single" w:sz="4" w:space="2" w:color="2E6DA4"/>
        </w:pBdr>
        <w:spacing w:before="240"/>
      </w:pPr>
      <w:proofErr w:type="gramStart"/>
      <w:r>
        <w:rPr>
          <w:color w:val="2E6DA4"/>
        </w:rPr>
        <w:t>4.1  Molecular</w:t>
      </w:r>
      <w:proofErr w:type="gramEnd"/>
      <w:r>
        <w:rPr>
          <w:color w:val="2E6DA4"/>
        </w:rPr>
        <w:t xml:space="preserve"> Beam Epitaxy (MBE)</w:t>
      </w:r>
    </w:p>
    <w:p w14:paraId="104C6372" w14:textId="77777777" w:rsidR="005636A6" w:rsidRDefault="00000000">
      <w:pPr>
        <w:spacing w:after="160"/>
        <w:jc w:val="both"/>
      </w:pPr>
      <w:proofErr w:type="spellStart"/>
      <w:r>
        <w:rPr>
          <w:rFonts w:eastAsia="Arial"/>
        </w:rPr>
        <w:t>CrTe</w:t>
      </w:r>
      <w:proofErr w:type="spellEnd"/>
      <w:r>
        <w:rPr>
          <w:rFonts w:eastAsia="Arial"/>
        </w:rPr>
        <w:t xml:space="preserve">₂ and </w:t>
      </w:r>
      <w:proofErr w:type="spellStart"/>
      <w:r>
        <w:rPr>
          <w:rFonts w:eastAsia="Arial"/>
        </w:rPr>
        <w:t>Fe₃GaTe</w:t>
      </w:r>
      <w:proofErr w:type="spellEnd"/>
      <w:r>
        <w:rPr>
          <w:rFonts w:eastAsia="Arial"/>
        </w:rPr>
        <w:t>₂ will be grown in ultra-high vacuum MBE (base pressure &lt;5 × 10⁻¹⁰ mbar) on epitaxial graphene/</w:t>
      </w:r>
      <w:proofErr w:type="spellStart"/>
      <w:proofErr w:type="gramStart"/>
      <w:r>
        <w:rPr>
          <w:rFonts w:eastAsia="Arial"/>
        </w:rPr>
        <w:t>SiC</w:t>
      </w:r>
      <w:proofErr w:type="spellEnd"/>
      <w:r>
        <w:rPr>
          <w:rFonts w:eastAsia="Arial"/>
        </w:rPr>
        <w:t>(</w:t>
      </w:r>
      <w:proofErr w:type="gramEnd"/>
      <w:r>
        <w:rPr>
          <w:rFonts w:eastAsia="Arial"/>
        </w:rPr>
        <w:t xml:space="preserve">0001) and HOPG substrates. Growth will be monitored in real time by RHEED to track layer-by-layer evolution. Elemental flux ratios will be calibrated by quartz crystal microbalance and verified post-growth by RBS. Growth temperature windows (150–400 °C) and annealing protocols will be systematically mapped. A critical control experiment will reproduce the bilayer </w:t>
      </w:r>
      <w:proofErr w:type="spellStart"/>
      <w:r>
        <w:rPr>
          <w:rFonts w:eastAsia="Arial"/>
        </w:rPr>
        <w:t>FeSb</w:t>
      </w:r>
      <w:proofErr w:type="spellEnd"/>
      <w:r>
        <w:rPr>
          <w:rFonts w:eastAsia="Arial"/>
        </w:rPr>
        <w:t>/</w:t>
      </w:r>
      <w:proofErr w:type="spellStart"/>
      <w:r>
        <w:rPr>
          <w:rFonts w:eastAsia="Arial"/>
        </w:rPr>
        <w:t>SrTiO</w:t>
      </w:r>
      <w:proofErr w:type="spellEnd"/>
      <w:r>
        <w:rPr>
          <w:rFonts w:eastAsia="Arial"/>
        </w:rPr>
        <w:t>₃ result as an internal benchmark.</w:t>
      </w:r>
    </w:p>
    <w:p w14:paraId="5D8FD65E" w14:textId="77777777" w:rsidR="005636A6" w:rsidRDefault="00000000">
      <w:pPr>
        <w:pStyle w:val="Heading2"/>
        <w:pBdr>
          <w:bottom w:val="single" w:sz="4" w:space="2" w:color="2E6DA4"/>
        </w:pBdr>
        <w:spacing w:before="240"/>
      </w:pPr>
      <w:proofErr w:type="gramStart"/>
      <w:r>
        <w:rPr>
          <w:color w:val="2E6DA4"/>
        </w:rPr>
        <w:t>4.2  Chemical</w:t>
      </w:r>
      <w:proofErr w:type="gramEnd"/>
      <w:r>
        <w:rPr>
          <w:color w:val="2E6DA4"/>
        </w:rPr>
        <w:t xml:space="preserve"> Vapor Deposition (CVD)</w:t>
      </w:r>
    </w:p>
    <w:p w14:paraId="721FB8B3" w14:textId="77777777" w:rsidR="005636A6" w:rsidRDefault="00000000">
      <w:pPr>
        <w:spacing w:after="160"/>
        <w:jc w:val="both"/>
      </w:pPr>
      <w:proofErr w:type="spellStart"/>
      <w:r>
        <w:rPr>
          <w:rFonts w:eastAsia="Arial"/>
        </w:rPr>
        <w:t>MnS</w:t>
      </w:r>
      <w:proofErr w:type="spellEnd"/>
      <w:r>
        <w:rPr>
          <w:rFonts w:eastAsia="Arial"/>
        </w:rPr>
        <w:t xml:space="preserve">₂ will be synthesized using the template-assisted CVD strategy introduced by Qu et al. (JACS 2025), employing </w:t>
      </w:r>
      <w:proofErr w:type="spellStart"/>
      <w:r>
        <w:rPr>
          <w:rFonts w:eastAsia="Arial"/>
        </w:rPr>
        <w:t>ReS</w:t>
      </w:r>
      <w:proofErr w:type="spellEnd"/>
      <w:r>
        <w:rPr>
          <w:rFonts w:eastAsia="Arial"/>
        </w:rPr>
        <w:t xml:space="preserve">₂ as a templating matrix. Precursor temperatures, carrier gas flow rates, and substrate pre-treatment protocols will be optimized. We will also investigate direct CVD of </w:t>
      </w:r>
      <w:proofErr w:type="spellStart"/>
      <w:r>
        <w:rPr>
          <w:rFonts w:eastAsia="Arial"/>
        </w:rPr>
        <w:t>Fe₃GaTe</w:t>
      </w:r>
      <w:proofErr w:type="spellEnd"/>
      <w:r>
        <w:rPr>
          <w:rFonts w:eastAsia="Arial"/>
        </w:rPr>
        <w:t xml:space="preserve">₂ from Fe, Ga, and </w:t>
      </w:r>
      <w:proofErr w:type="spellStart"/>
      <w:r>
        <w:rPr>
          <w:rFonts w:eastAsia="Arial"/>
        </w:rPr>
        <w:t>Te</w:t>
      </w:r>
      <w:proofErr w:type="spellEnd"/>
      <w:r>
        <w:rPr>
          <w:rFonts w:eastAsia="Arial"/>
        </w:rPr>
        <w:t xml:space="preserve"> precursors on </w:t>
      </w:r>
      <w:proofErr w:type="spellStart"/>
      <w:r>
        <w:rPr>
          <w:rFonts w:eastAsia="Arial"/>
        </w:rPr>
        <w:t>SiO</w:t>
      </w:r>
      <w:proofErr w:type="spellEnd"/>
      <w:r>
        <w:rPr>
          <w:rFonts w:eastAsia="Arial"/>
        </w:rPr>
        <w:t>₂/Si and h-BN substrates to probe substrate-independence of room-temperature ferromagnetism.</w:t>
      </w:r>
    </w:p>
    <w:p w14:paraId="45FDA217" w14:textId="77777777" w:rsidR="005636A6" w:rsidRDefault="00000000">
      <w:pPr>
        <w:pStyle w:val="Heading2"/>
        <w:pBdr>
          <w:bottom w:val="single" w:sz="4" w:space="2" w:color="2E6DA4"/>
        </w:pBdr>
        <w:spacing w:before="240"/>
      </w:pPr>
      <w:proofErr w:type="gramStart"/>
      <w:r>
        <w:rPr>
          <w:color w:val="2E6DA4"/>
        </w:rPr>
        <w:t>4.3  Structural</w:t>
      </w:r>
      <w:proofErr w:type="gramEnd"/>
      <w:r>
        <w:rPr>
          <w:color w:val="2E6DA4"/>
        </w:rPr>
        <w:t xml:space="preserve"> and Chemical Characterization</w:t>
      </w:r>
    </w:p>
    <w:p w14:paraId="2E4017F6" w14:textId="77777777" w:rsidR="005636A6" w:rsidRDefault="00000000">
      <w:pPr>
        <w:spacing w:after="160"/>
        <w:jc w:val="both"/>
      </w:pPr>
      <w:r>
        <w:rPr>
          <w:rFonts w:eastAsia="Arial"/>
        </w:rPr>
        <w:t>Atomic-resolution STEM (HAADF and ABF modes) will confirm crystallographic phase, layer count, and elemental site occupancy. XRD and electron diffraction will establish epitaxial relationships and detect secondary phases. XPS and EDS will quantify stoichiometry and surface oxidation. All films will be transferred under inert atmosphere where possible to prevent air-induced degradation.</w:t>
      </w:r>
    </w:p>
    <w:p w14:paraId="6BE3F668" w14:textId="77777777" w:rsidR="005636A6" w:rsidRDefault="00000000">
      <w:pPr>
        <w:pStyle w:val="Heading2"/>
        <w:pBdr>
          <w:bottom w:val="single" w:sz="4" w:space="2" w:color="2E6DA4"/>
        </w:pBdr>
        <w:spacing w:before="240"/>
      </w:pPr>
      <w:proofErr w:type="gramStart"/>
      <w:r>
        <w:rPr>
          <w:color w:val="2E6DA4"/>
        </w:rPr>
        <w:t>4.4  Magnetic</w:t>
      </w:r>
      <w:proofErr w:type="gramEnd"/>
      <w:r>
        <w:rPr>
          <w:color w:val="2E6DA4"/>
        </w:rPr>
        <w:t xml:space="preserve"> Characterization</w:t>
      </w:r>
    </w:p>
    <w:p w14:paraId="2370DCE8" w14:textId="77777777" w:rsidR="005636A6" w:rsidRDefault="00000000">
      <w:pPr>
        <w:spacing w:after="160"/>
        <w:jc w:val="both"/>
      </w:pPr>
      <w:r>
        <w:rPr>
          <w:rFonts w:eastAsia="Arial"/>
        </w:rPr>
        <w:t xml:space="preserve">SQUID magnetometry: M–H and M–T curves from 10 K to 400 K; Tᶜ by Arrott plot method and critical exponent analysis. XMCD at a synchrotron: element-selective magnetic moments and orbital/spin ratio via sum rules. MOKE: in-situ room-temperature domain imaging and coercivity mapping. MFM: spatial domain mapping and thickness-dependent magnetic behavior following the methodology applied to </w:t>
      </w:r>
      <w:proofErr w:type="spellStart"/>
      <w:r>
        <w:rPr>
          <w:rFonts w:eastAsia="Arial"/>
        </w:rPr>
        <w:t>Fe₃GaTe</w:t>
      </w:r>
      <w:proofErr w:type="spellEnd"/>
      <w:r>
        <w:rPr>
          <w:rFonts w:eastAsia="Arial"/>
        </w:rPr>
        <w:t xml:space="preserve">₂ single crystals (Heisenberg exchange constant J = 1.33 × 10⁻¹² J/m). QD-AFM: high-spatial-resolution magnetic mapping as demonstrated for </w:t>
      </w:r>
      <w:proofErr w:type="spellStart"/>
      <w:r>
        <w:rPr>
          <w:rFonts w:eastAsia="Arial"/>
        </w:rPr>
        <w:t>MnS</w:t>
      </w:r>
      <w:proofErr w:type="spellEnd"/>
      <w:r>
        <w:rPr>
          <w:rFonts w:eastAsia="Arial"/>
        </w:rPr>
        <w:t>₂.</w:t>
      </w:r>
    </w:p>
    <w:p w14:paraId="3BD78420" w14:textId="77777777" w:rsidR="005636A6" w:rsidRDefault="00000000">
      <w:pPr>
        <w:pStyle w:val="Heading2"/>
        <w:pBdr>
          <w:bottom w:val="single" w:sz="4" w:space="2" w:color="2E6DA4"/>
        </w:pBdr>
        <w:spacing w:before="240"/>
      </w:pPr>
      <w:proofErr w:type="gramStart"/>
      <w:r>
        <w:rPr>
          <w:color w:val="2E6DA4"/>
        </w:rPr>
        <w:t>4.5  Electronic</w:t>
      </w:r>
      <w:proofErr w:type="gramEnd"/>
      <w:r>
        <w:rPr>
          <w:color w:val="2E6DA4"/>
        </w:rPr>
        <w:t xml:space="preserve"> Structure (ARPES and DFT)</w:t>
      </w:r>
    </w:p>
    <w:p w14:paraId="55F4A347" w14:textId="77777777" w:rsidR="005636A6" w:rsidRDefault="00000000">
      <w:pPr>
        <w:spacing w:after="160"/>
        <w:jc w:val="both"/>
      </w:pPr>
      <w:r>
        <w:rPr>
          <w:rFonts w:eastAsia="Arial"/>
        </w:rPr>
        <w:t xml:space="preserve">ARPES will map spin-split band structure and Fermi surface topology at room temperature. DFT calculations (VASP, PBE+U with SOC) will provide complementary electronic structure models, Heisenberg exchange constants, and magnetic anisotropy energies, cross-validated against the ARPES + DFT methodology established for </w:t>
      </w:r>
      <w:proofErr w:type="spellStart"/>
      <w:r>
        <w:rPr>
          <w:rFonts w:eastAsia="Arial"/>
        </w:rPr>
        <w:t>Fe₃GaTe</w:t>
      </w:r>
      <w:proofErr w:type="spellEnd"/>
      <w:r>
        <w:rPr>
          <w:rFonts w:eastAsia="Arial"/>
        </w:rPr>
        <w:t>₂.</w:t>
      </w:r>
    </w:p>
    <w:p w14:paraId="2528CAF6" w14:textId="77777777" w:rsidR="005636A6" w:rsidRDefault="00000000">
      <w:pPr>
        <w:pStyle w:val="Heading2"/>
        <w:pBdr>
          <w:bottom w:val="single" w:sz="4" w:space="2" w:color="2E6DA4"/>
        </w:pBdr>
        <w:spacing w:before="240"/>
      </w:pPr>
      <w:proofErr w:type="gramStart"/>
      <w:r>
        <w:rPr>
          <w:color w:val="2E6DA4"/>
        </w:rPr>
        <w:lastRenderedPageBreak/>
        <w:t>4.6  Device</w:t>
      </w:r>
      <w:proofErr w:type="gramEnd"/>
      <w:r>
        <w:rPr>
          <w:color w:val="2E6DA4"/>
        </w:rPr>
        <w:t xml:space="preserve"> Fabrication and Measurement</w:t>
      </w:r>
    </w:p>
    <w:p w14:paraId="28FF15FC" w14:textId="77777777" w:rsidR="005636A6" w:rsidRDefault="00000000">
      <w:pPr>
        <w:spacing w:after="160"/>
        <w:jc w:val="both"/>
      </w:pPr>
      <w:r>
        <w:rPr>
          <w:rFonts w:eastAsia="Arial"/>
        </w:rPr>
        <w:t xml:space="preserve">Devices will be fabricated by e-beam lithography and dry etching in a cleanroom. AHE Hall bar devices will use Au/Ti contacts. MTJ stacks will be assembled by deterministic </w:t>
      </w:r>
      <w:proofErr w:type="spellStart"/>
      <w:r>
        <w:rPr>
          <w:rFonts w:eastAsia="Arial"/>
        </w:rPr>
        <w:t>vdW</w:t>
      </w:r>
      <w:proofErr w:type="spellEnd"/>
      <w:r>
        <w:rPr>
          <w:rFonts w:eastAsia="Arial"/>
        </w:rPr>
        <w:t xml:space="preserve"> stacking with h-BN or MoS₂ as tunneling barriers. Transport measurements will be performed on a cryogenic probe station (1.8–400 K, 9 T) and a room-temperature spin-transport setup. SOT-driven switching will be tested following the protocol established for </w:t>
      </w:r>
      <w:proofErr w:type="spellStart"/>
      <w:r>
        <w:rPr>
          <w:rFonts w:eastAsia="Arial"/>
        </w:rPr>
        <w:t>Fe₃GeTe</w:t>
      </w:r>
      <w:proofErr w:type="spellEnd"/>
      <w:r>
        <w:rPr>
          <w:rFonts w:eastAsia="Arial"/>
        </w:rPr>
        <w:t>₂/</w:t>
      </w:r>
      <w:proofErr w:type="spellStart"/>
      <w:r>
        <w:rPr>
          <w:rFonts w:eastAsia="Arial"/>
        </w:rPr>
        <w:t>Bi₂Te</w:t>
      </w:r>
      <w:proofErr w:type="spellEnd"/>
      <w:r>
        <w:rPr>
          <w:rFonts w:eastAsia="Arial"/>
        </w:rPr>
        <w:t>₃ heterojunctions.</w:t>
      </w:r>
    </w:p>
    <w:p w14:paraId="5CFB3D7C" w14:textId="77777777" w:rsidR="005636A6" w:rsidRDefault="00000000">
      <w:pPr>
        <w:pStyle w:val="Heading1"/>
        <w:shd w:val="clear" w:color="auto" w:fill="1B3A6B"/>
        <w:spacing w:before="300" w:after="160"/>
        <w:ind w:left="160" w:right="160"/>
      </w:pPr>
      <w:r>
        <w:rPr>
          <w:color w:val="FFFFFF"/>
        </w:rPr>
        <w:t>5. Timeline and Milestones</w:t>
      </w:r>
    </w:p>
    <w:p w14:paraId="2D72AF31" w14:textId="77777777" w:rsidR="005636A6" w:rsidRDefault="005636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560"/>
        <w:gridCol w:w="3600"/>
      </w:tblGrid>
      <w:tr w:rsidR="005636A6" w14:paraId="6B828E0F" w14:textId="77777777">
        <w:tblPrEx>
          <w:tblCellMar>
            <w:top w:w="0" w:type="dxa"/>
            <w:bottom w:w="0" w:type="dxa"/>
          </w:tblCellMar>
        </w:tblPrEx>
        <w:tc>
          <w:tcPr>
            <w:tcW w:w="1200" w:type="dxa"/>
            <w:tcBorders>
              <w:top w:val="single" w:sz="1" w:space="0" w:color="4A86C8"/>
              <w:left w:val="single" w:sz="1" w:space="0" w:color="4A86C8"/>
              <w:bottom w:val="single" w:sz="1" w:space="0" w:color="4A86C8"/>
              <w:right w:val="single" w:sz="1" w:space="0" w:color="4A86C8"/>
            </w:tcBorders>
            <w:shd w:val="clear" w:color="auto" w:fill="2E6DA4"/>
            <w:tcMar>
              <w:top w:w="80" w:type="dxa"/>
              <w:left w:w="120" w:type="dxa"/>
              <w:bottom w:w="80" w:type="dxa"/>
              <w:right w:w="120" w:type="dxa"/>
            </w:tcMar>
            <w:vAlign w:val="center"/>
          </w:tcPr>
          <w:p w14:paraId="23B7A8EB" w14:textId="77777777" w:rsidR="005636A6" w:rsidRDefault="00000000">
            <w:r>
              <w:rPr>
                <w:rFonts w:eastAsia="Arial"/>
                <w:b/>
                <w:bCs/>
                <w:color w:val="FFFFFF"/>
                <w:sz w:val="20"/>
                <w:szCs w:val="20"/>
              </w:rPr>
              <w:t>Phase</w:t>
            </w:r>
          </w:p>
        </w:tc>
        <w:tc>
          <w:tcPr>
            <w:tcW w:w="2000" w:type="dxa"/>
            <w:tcBorders>
              <w:top w:val="single" w:sz="1" w:space="0" w:color="4A86C8"/>
              <w:left w:val="single" w:sz="1" w:space="0" w:color="4A86C8"/>
              <w:bottom w:val="single" w:sz="1" w:space="0" w:color="4A86C8"/>
              <w:right w:val="single" w:sz="1" w:space="0" w:color="4A86C8"/>
            </w:tcBorders>
            <w:shd w:val="clear" w:color="auto" w:fill="2E6DA4"/>
            <w:tcMar>
              <w:top w:w="80" w:type="dxa"/>
              <w:left w:w="120" w:type="dxa"/>
              <w:bottom w:w="80" w:type="dxa"/>
              <w:right w:w="120" w:type="dxa"/>
            </w:tcMar>
            <w:vAlign w:val="center"/>
          </w:tcPr>
          <w:p w14:paraId="57D80919" w14:textId="77777777" w:rsidR="005636A6" w:rsidRDefault="00000000">
            <w:r>
              <w:rPr>
                <w:rFonts w:eastAsia="Arial"/>
                <w:b/>
                <w:bCs/>
                <w:color w:val="FFFFFF"/>
                <w:sz w:val="20"/>
                <w:szCs w:val="20"/>
              </w:rPr>
              <w:t>Period</w:t>
            </w:r>
          </w:p>
        </w:tc>
        <w:tc>
          <w:tcPr>
            <w:tcW w:w="2560" w:type="dxa"/>
            <w:tcBorders>
              <w:top w:val="single" w:sz="1" w:space="0" w:color="4A86C8"/>
              <w:left w:val="single" w:sz="1" w:space="0" w:color="4A86C8"/>
              <w:bottom w:val="single" w:sz="1" w:space="0" w:color="4A86C8"/>
              <w:right w:val="single" w:sz="1" w:space="0" w:color="4A86C8"/>
            </w:tcBorders>
            <w:shd w:val="clear" w:color="auto" w:fill="2E6DA4"/>
            <w:tcMar>
              <w:top w:w="80" w:type="dxa"/>
              <w:left w:w="120" w:type="dxa"/>
              <w:bottom w:w="80" w:type="dxa"/>
              <w:right w:w="120" w:type="dxa"/>
            </w:tcMar>
            <w:vAlign w:val="center"/>
          </w:tcPr>
          <w:p w14:paraId="15E1FA19" w14:textId="77777777" w:rsidR="005636A6" w:rsidRDefault="00000000">
            <w:r>
              <w:rPr>
                <w:rFonts w:eastAsia="Arial"/>
                <w:b/>
                <w:bCs/>
                <w:color w:val="FFFFFF"/>
                <w:sz w:val="20"/>
                <w:szCs w:val="20"/>
              </w:rPr>
              <w:t>Focus</w:t>
            </w:r>
          </w:p>
        </w:tc>
        <w:tc>
          <w:tcPr>
            <w:tcW w:w="3600" w:type="dxa"/>
            <w:tcBorders>
              <w:top w:val="single" w:sz="1" w:space="0" w:color="4A86C8"/>
              <w:left w:val="single" w:sz="1" w:space="0" w:color="4A86C8"/>
              <w:bottom w:val="single" w:sz="1" w:space="0" w:color="4A86C8"/>
              <w:right w:val="single" w:sz="1" w:space="0" w:color="4A86C8"/>
            </w:tcBorders>
            <w:shd w:val="clear" w:color="auto" w:fill="2E6DA4"/>
            <w:tcMar>
              <w:top w:w="80" w:type="dxa"/>
              <w:left w:w="120" w:type="dxa"/>
              <w:bottom w:w="80" w:type="dxa"/>
              <w:right w:w="120" w:type="dxa"/>
            </w:tcMar>
            <w:vAlign w:val="center"/>
          </w:tcPr>
          <w:p w14:paraId="194447C8" w14:textId="77777777" w:rsidR="005636A6" w:rsidRDefault="00000000">
            <w:r>
              <w:rPr>
                <w:rFonts w:eastAsia="Arial"/>
                <w:b/>
                <w:bCs/>
                <w:color w:val="FFFFFF"/>
                <w:sz w:val="20"/>
                <w:szCs w:val="20"/>
              </w:rPr>
              <w:t>Key Deliverables</w:t>
            </w:r>
          </w:p>
        </w:tc>
      </w:tr>
      <w:tr w:rsidR="005636A6" w14:paraId="59FEF098" w14:textId="77777777">
        <w:tblPrEx>
          <w:tblCellMar>
            <w:top w:w="0" w:type="dxa"/>
            <w:bottom w:w="0" w:type="dxa"/>
          </w:tblCellMar>
        </w:tblPrEx>
        <w:tc>
          <w:tcPr>
            <w:tcW w:w="12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0A90BD74" w14:textId="77777777" w:rsidR="005636A6" w:rsidRDefault="00000000">
            <w:r>
              <w:rPr>
                <w:rFonts w:eastAsia="Arial"/>
                <w:sz w:val="20"/>
                <w:szCs w:val="20"/>
              </w:rPr>
              <w:t>Phase 1</w:t>
            </w:r>
          </w:p>
        </w:tc>
        <w:tc>
          <w:tcPr>
            <w:tcW w:w="20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6DC0C31C" w14:textId="77777777" w:rsidR="005636A6" w:rsidRDefault="00000000">
            <w:r>
              <w:rPr>
                <w:rFonts w:eastAsia="Arial"/>
                <w:sz w:val="20"/>
                <w:szCs w:val="20"/>
              </w:rPr>
              <w:t>Months 1–12 (Year 1)</w:t>
            </w:r>
          </w:p>
        </w:tc>
        <w:tc>
          <w:tcPr>
            <w:tcW w:w="256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1709FD50" w14:textId="77777777" w:rsidR="005636A6" w:rsidRDefault="00000000">
            <w:r>
              <w:rPr>
                <w:rFonts w:eastAsia="Arial"/>
                <w:sz w:val="20"/>
                <w:szCs w:val="20"/>
              </w:rPr>
              <w:t>Growth establishment &amp; benchmarking</w:t>
            </w:r>
          </w:p>
        </w:tc>
        <w:tc>
          <w:tcPr>
            <w:tcW w:w="36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7547AE84" w14:textId="77777777" w:rsidR="005636A6" w:rsidRDefault="00000000">
            <w:proofErr w:type="spellStart"/>
            <w:r>
              <w:rPr>
                <w:rFonts w:eastAsia="Arial"/>
                <w:sz w:val="20"/>
                <w:szCs w:val="20"/>
              </w:rPr>
              <w:t>CrTe</w:t>
            </w:r>
            <w:proofErr w:type="spellEnd"/>
            <w:r>
              <w:rPr>
                <w:rFonts w:eastAsia="Arial"/>
                <w:sz w:val="20"/>
                <w:szCs w:val="20"/>
              </w:rPr>
              <w:t xml:space="preserve">₂ and </w:t>
            </w:r>
            <w:proofErr w:type="spellStart"/>
            <w:r>
              <w:rPr>
                <w:rFonts w:eastAsia="Arial"/>
                <w:sz w:val="20"/>
                <w:szCs w:val="20"/>
              </w:rPr>
              <w:t>MnS</w:t>
            </w:r>
            <w:proofErr w:type="spellEnd"/>
            <w:r>
              <w:rPr>
                <w:rFonts w:eastAsia="Arial"/>
                <w:sz w:val="20"/>
                <w:szCs w:val="20"/>
              </w:rPr>
              <w:t>₂ protocols; SQUID Tᶜ confirmed; ≥2 publications</w:t>
            </w:r>
          </w:p>
        </w:tc>
      </w:tr>
      <w:tr w:rsidR="005636A6" w14:paraId="353700B6" w14:textId="77777777">
        <w:tblPrEx>
          <w:tblCellMar>
            <w:top w:w="0" w:type="dxa"/>
            <w:bottom w:w="0" w:type="dxa"/>
          </w:tblCellMar>
        </w:tblPrEx>
        <w:tc>
          <w:tcPr>
            <w:tcW w:w="12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2460CDC3" w14:textId="77777777" w:rsidR="005636A6" w:rsidRDefault="00000000">
            <w:r>
              <w:rPr>
                <w:rFonts w:eastAsia="Arial"/>
                <w:sz w:val="20"/>
                <w:szCs w:val="20"/>
              </w:rPr>
              <w:t>Phase 2</w:t>
            </w:r>
          </w:p>
        </w:tc>
        <w:tc>
          <w:tcPr>
            <w:tcW w:w="20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30C283D0" w14:textId="77777777" w:rsidR="005636A6" w:rsidRDefault="00000000">
            <w:r>
              <w:rPr>
                <w:rFonts w:eastAsia="Arial"/>
                <w:sz w:val="20"/>
                <w:szCs w:val="20"/>
              </w:rPr>
              <w:t>Months 7–18 (Year 1–2)</w:t>
            </w:r>
          </w:p>
        </w:tc>
        <w:tc>
          <w:tcPr>
            <w:tcW w:w="256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31479177" w14:textId="77777777" w:rsidR="005636A6" w:rsidRDefault="00000000">
            <w:proofErr w:type="spellStart"/>
            <w:r>
              <w:rPr>
                <w:rFonts w:eastAsia="Arial"/>
                <w:sz w:val="20"/>
                <w:szCs w:val="20"/>
              </w:rPr>
              <w:t>Fe₃GaTe</w:t>
            </w:r>
            <w:proofErr w:type="spellEnd"/>
            <w:r>
              <w:rPr>
                <w:rFonts w:eastAsia="Arial"/>
                <w:sz w:val="20"/>
                <w:szCs w:val="20"/>
              </w:rPr>
              <w:t>₂ growth &amp; full characterization</w:t>
            </w:r>
          </w:p>
        </w:tc>
        <w:tc>
          <w:tcPr>
            <w:tcW w:w="36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21A43FF9" w14:textId="77777777" w:rsidR="005636A6" w:rsidRDefault="00000000">
            <w:r>
              <w:rPr>
                <w:rFonts w:eastAsia="Arial"/>
                <w:sz w:val="20"/>
                <w:szCs w:val="20"/>
              </w:rPr>
              <w:t>Wafer-scale MBE films; XMCD + ARPES datasets; open-access protocol</w:t>
            </w:r>
          </w:p>
        </w:tc>
      </w:tr>
      <w:tr w:rsidR="005636A6" w14:paraId="61A32C15" w14:textId="77777777">
        <w:tblPrEx>
          <w:tblCellMar>
            <w:top w:w="0" w:type="dxa"/>
            <w:bottom w:w="0" w:type="dxa"/>
          </w:tblCellMar>
        </w:tblPrEx>
        <w:tc>
          <w:tcPr>
            <w:tcW w:w="12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1A230403" w14:textId="77777777" w:rsidR="005636A6" w:rsidRDefault="00000000">
            <w:r>
              <w:rPr>
                <w:rFonts w:eastAsia="Arial"/>
                <w:sz w:val="20"/>
                <w:szCs w:val="20"/>
              </w:rPr>
              <w:t>Phase 3</w:t>
            </w:r>
          </w:p>
        </w:tc>
        <w:tc>
          <w:tcPr>
            <w:tcW w:w="20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4C5D9BEA" w14:textId="77777777" w:rsidR="005636A6" w:rsidRDefault="00000000">
            <w:r>
              <w:rPr>
                <w:rFonts w:eastAsia="Arial"/>
                <w:sz w:val="20"/>
                <w:szCs w:val="20"/>
              </w:rPr>
              <w:t>Months 13–24 (Year 2)</w:t>
            </w:r>
          </w:p>
        </w:tc>
        <w:tc>
          <w:tcPr>
            <w:tcW w:w="256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3E333C05" w14:textId="77777777" w:rsidR="005636A6" w:rsidRDefault="00000000">
            <w:r>
              <w:rPr>
                <w:rFonts w:eastAsia="Arial"/>
                <w:sz w:val="20"/>
                <w:szCs w:val="20"/>
              </w:rPr>
              <w:t>Device fabrication — AHE</w:t>
            </w:r>
          </w:p>
        </w:tc>
        <w:tc>
          <w:tcPr>
            <w:tcW w:w="36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4E9267C1" w14:textId="77777777" w:rsidR="005636A6" w:rsidRDefault="00000000">
            <w:r>
              <w:rPr>
                <w:rFonts w:eastAsia="Arial"/>
                <w:sz w:val="20"/>
                <w:szCs w:val="20"/>
              </w:rPr>
              <w:t>AHE switching &gt;300 K in ≥10 devices; conference presentations</w:t>
            </w:r>
          </w:p>
        </w:tc>
      </w:tr>
      <w:tr w:rsidR="005636A6" w14:paraId="714479F9" w14:textId="77777777">
        <w:tblPrEx>
          <w:tblCellMar>
            <w:top w:w="0" w:type="dxa"/>
            <w:bottom w:w="0" w:type="dxa"/>
          </w:tblCellMar>
        </w:tblPrEx>
        <w:tc>
          <w:tcPr>
            <w:tcW w:w="12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4BDEFAB8" w14:textId="77777777" w:rsidR="005636A6" w:rsidRDefault="00000000">
            <w:r>
              <w:rPr>
                <w:rFonts w:eastAsia="Arial"/>
                <w:sz w:val="20"/>
                <w:szCs w:val="20"/>
              </w:rPr>
              <w:t>Phase 4</w:t>
            </w:r>
          </w:p>
        </w:tc>
        <w:tc>
          <w:tcPr>
            <w:tcW w:w="20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44453D8F" w14:textId="77777777" w:rsidR="005636A6" w:rsidRDefault="00000000">
            <w:r>
              <w:rPr>
                <w:rFonts w:eastAsia="Arial"/>
                <w:sz w:val="20"/>
                <w:szCs w:val="20"/>
              </w:rPr>
              <w:t>Months 19–30 (Year 2–3)</w:t>
            </w:r>
          </w:p>
        </w:tc>
        <w:tc>
          <w:tcPr>
            <w:tcW w:w="256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2F577330" w14:textId="77777777" w:rsidR="005636A6" w:rsidRDefault="00000000">
            <w:r>
              <w:rPr>
                <w:rFonts w:eastAsia="Arial"/>
                <w:sz w:val="20"/>
                <w:szCs w:val="20"/>
              </w:rPr>
              <w:t>MTJ development</w:t>
            </w:r>
          </w:p>
        </w:tc>
        <w:tc>
          <w:tcPr>
            <w:tcW w:w="3600" w:type="dxa"/>
            <w:tcBorders>
              <w:top w:val="single" w:sz="1" w:space="0" w:color="C8D8EC"/>
              <w:left w:val="single" w:sz="1" w:space="0" w:color="C8D8EC"/>
              <w:bottom w:val="single" w:sz="1" w:space="0" w:color="C8D8EC"/>
              <w:right w:val="single" w:sz="1" w:space="0" w:color="C8D8EC"/>
            </w:tcBorders>
            <w:shd w:val="clear" w:color="auto" w:fill="FFFFFF"/>
            <w:tcMar>
              <w:top w:w="80" w:type="dxa"/>
              <w:left w:w="120" w:type="dxa"/>
              <w:bottom w:w="80" w:type="dxa"/>
              <w:right w:w="120" w:type="dxa"/>
            </w:tcMar>
          </w:tcPr>
          <w:p w14:paraId="48EAC2EA" w14:textId="77777777" w:rsidR="005636A6" w:rsidRDefault="00000000">
            <w:r>
              <w:rPr>
                <w:rFonts w:eastAsia="Arial"/>
                <w:sz w:val="20"/>
                <w:szCs w:val="20"/>
              </w:rPr>
              <w:t>2D MTJ with TMR &gt;30% at 300 K; device benchmarking publication</w:t>
            </w:r>
          </w:p>
        </w:tc>
      </w:tr>
      <w:tr w:rsidR="005636A6" w14:paraId="4726CB68" w14:textId="77777777">
        <w:tblPrEx>
          <w:tblCellMar>
            <w:top w:w="0" w:type="dxa"/>
            <w:bottom w:w="0" w:type="dxa"/>
          </w:tblCellMar>
        </w:tblPrEx>
        <w:tc>
          <w:tcPr>
            <w:tcW w:w="12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6B084608" w14:textId="77777777" w:rsidR="005636A6" w:rsidRDefault="00000000">
            <w:r>
              <w:rPr>
                <w:rFonts w:eastAsia="Arial"/>
                <w:sz w:val="20"/>
                <w:szCs w:val="20"/>
              </w:rPr>
              <w:t>Phase 5</w:t>
            </w:r>
          </w:p>
        </w:tc>
        <w:tc>
          <w:tcPr>
            <w:tcW w:w="20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3773956C" w14:textId="77777777" w:rsidR="005636A6" w:rsidRDefault="00000000">
            <w:r>
              <w:rPr>
                <w:rFonts w:eastAsia="Arial"/>
                <w:sz w:val="20"/>
                <w:szCs w:val="20"/>
              </w:rPr>
              <w:t>Months 25–36 (Year 3)</w:t>
            </w:r>
          </w:p>
        </w:tc>
        <w:tc>
          <w:tcPr>
            <w:tcW w:w="256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68381517" w14:textId="77777777" w:rsidR="005636A6" w:rsidRDefault="00000000">
            <w:r>
              <w:rPr>
                <w:rFonts w:eastAsia="Arial"/>
                <w:sz w:val="20"/>
                <w:szCs w:val="20"/>
              </w:rPr>
              <w:t>Integration &amp; dissemination</w:t>
            </w:r>
          </w:p>
        </w:tc>
        <w:tc>
          <w:tcPr>
            <w:tcW w:w="3600" w:type="dxa"/>
            <w:tcBorders>
              <w:top w:val="single" w:sz="1" w:space="0" w:color="C8D8EC"/>
              <w:left w:val="single" w:sz="1" w:space="0" w:color="C8D8EC"/>
              <w:bottom w:val="single" w:sz="1" w:space="0" w:color="C8D8EC"/>
              <w:right w:val="single" w:sz="1" w:space="0" w:color="C8D8EC"/>
            </w:tcBorders>
            <w:shd w:val="clear" w:color="auto" w:fill="F2F6FB"/>
            <w:tcMar>
              <w:top w:w="80" w:type="dxa"/>
              <w:left w:w="120" w:type="dxa"/>
              <w:bottom w:w="80" w:type="dxa"/>
              <w:right w:w="120" w:type="dxa"/>
            </w:tcMar>
          </w:tcPr>
          <w:p w14:paraId="4A8E10C9" w14:textId="77777777" w:rsidR="005636A6" w:rsidRDefault="00000000">
            <w:r>
              <w:rPr>
                <w:rFonts w:eastAsia="Arial"/>
                <w:sz w:val="20"/>
                <w:szCs w:val="20"/>
              </w:rPr>
              <w:t>Wafer-scale heterostructure demo; ≥2 high-impact papers; open dataset</w:t>
            </w:r>
          </w:p>
        </w:tc>
      </w:tr>
    </w:tbl>
    <w:p w14:paraId="36562D33" w14:textId="77777777" w:rsidR="005636A6" w:rsidRDefault="005636A6">
      <w:pPr>
        <w:spacing w:after="80"/>
      </w:pPr>
    </w:p>
    <w:p w14:paraId="2310BDE5" w14:textId="77777777" w:rsidR="005636A6" w:rsidRDefault="00000000">
      <w:pPr>
        <w:pStyle w:val="Heading1"/>
        <w:shd w:val="clear" w:color="auto" w:fill="1B3A6B"/>
        <w:spacing w:before="300" w:after="160"/>
        <w:ind w:left="160" w:right="160"/>
      </w:pPr>
      <w:r>
        <w:rPr>
          <w:color w:val="FFFFFF"/>
        </w:rPr>
        <w:t>6. Innovation and Expected Impact</w:t>
      </w:r>
    </w:p>
    <w:p w14:paraId="5451AECA" w14:textId="77777777" w:rsidR="005636A6" w:rsidRDefault="00000000">
      <w:pPr>
        <w:pStyle w:val="Heading2"/>
        <w:pBdr>
          <w:bottom w:val="single" w:sz="4" w:space="2" w:color="2E6DA4"/>
        </w:pBdr>
        <w:spacing w:before="240"/>
      </w:pPr>
      <w:proofErr w:type="gramStart"/>
      <w:r>
        <w:rPr>
          <w:color w:val="2E6DA4"/>
        </w:rPr>
        <w:t>6.1  Novel</w:t>
      </w:r>
      <w:proofErr w:type="gramEnd"/>
      <w:r>
        <w:rPr>
          <w:color w:val="2E6DA4"/>
        </w:rPr>
        <w:t xml:space="preserve"> Aspects</w:t>
      </w:r>
    </w:p>
    <w:p w14:paraId="5CAB68DA" w14:textId="77777777" w:rsidR="005636A6" w:rsidRDefault="00000000">
      <w:pPr>
        <w:pStyle w:val="ListParagraph"/>
        <w:numPr>
          <w:ilvl w:val="0"/>
          <w:numId w:val="2"/>
        </w:numPr>
        <w:spacing w:after="100"/>
      </w:pPr>
      <w:r>
        <w:rPr>
          <w:rFonts w:eastAsia="Arial"/>
        </w:rPr>
        <w:t>First systematic multi-technique characterization protocol for room-temperature 2D ferromagnets, enabling community reproducibility benchmarks.</w:t>
      </w:r>
    </w:p>
    <w:p w14:paraId="36E25B7F" w14:textId="77777777" w:rsidR="005636A6" w:rsidRDefault="00000000">
      <w:pPr>
        <w:pStyle w:val="ListParagraph"/>
        <w:numPr>
          <w:ilvl w:val="0"/>
          <w:numId w:val="2"/>
        </w:numPr>
        <w:spacing w:after="100"/>
      </w:pPr>
      <w:r>
        <w:rPr>
          <w:rFonts w:eastAsia="Arial"/>
        </w:rPr>
        <w:t>First application of template-assisted CVD (</w:t>
      </w:r>
      <w:proofErr w:type="spellStart"/>
      <w:r>
        <w:rPr>
          <w:rFonts w:eastAsia="Arial"/>
        </w:rPr>
        <w:t>MnS</w:t>
      </w:r>
      <w:proofErr w:type="spellEnd"/>
      <w:r>
        <w:rPr>
          <w:rFonts w:eastAsia="Arial"/>
        </w:rPr>
        <w:t>₂/</w:t>
      </w:r>
      <w:proofErr w:type="spellStart"/>
      <w:r>
        <w:rPr>
          <w:rFonts w:eastAsia="Arial"/>
        </w:rPr>
        <w:t>ReS</w:t>
      </w:r>
      <w:proofErr w:type="spellEnd"/>
      <w:r>
        <w:rPr>
          <w:rFonts w:eastAsia="Arial"/>
        </w:rPr>
        <w:t>₂) to additional group-VI disulfide candidates, potentially unlocking new semiconducting room-temperature ferromagnets.</w:t>
      </w:r>
    </w:p>
    <w:p w14:paraId="24DCEAFC" w14:textId="77777777" w:rsidR="005636A6" w:rsidRDefault="00000000">
      <w:pPr>
        <w:pStyle w:val="ListParagraph"/>
        <w:numPr>
          <w:ilvl w:val="0"/>
          <w:numId w:val="2"/>
        </w:numPr>
        <w:spacing w:after="100"/>
      </w:pPr>
      <w:r>
        <w:rPr>
          <w:rFonts w:eastAsia="Arial"/>
        </w:rPr>
        <w:t xml:space="preserve">Integration of </w:t>
      </w:r>
      <w:proofErr w:type="spellStart"/>
      <w:r>
        <w:rPr>
          <w:rFonts w:eastAsia="Arial"/>
        </w:rPr>
        <w:t>MBene</w:t>
      </w:r>
      <w:proofErr w:type="spellEnd"/>
      <w:r>
        <w:rPr>
          <w:rFonts w:eastAsia="Arial"/>
        </w:rPr>
        <w:t xml:space="preserve"> vacancy engineering into </w:t>
      </w:r>
      <w:proofErr w:type="spellStart"/>
      <w:r>
        <w:rPr>
          <w:rFonts w:eastAsia="Arial"/>
        </w:rPr>
        <w:t>vdW</w:t>
      </w:r>
      <w:proofErr w:type="spellEnd"/>
      <w:r>
        <w:rPr>
          <w:rFonts w:eastAsia="Arial"/>
        </w:rPr>
        <w:t xml:space="preserve"> heterostructures to tune Tᶜ and magnetic anisotropy by design.</w:t>
      </w:r>
    </w:p>
    <w:p w14:paraId="4A2F82D7" w14:textId="77777777" w:rsidR="005636A6" w:rsidRDefault="00000000">
      <w:pPr>
        <w:pStyle w:val="ListParagraph"/>
        <w:numPr>
          <w:ilvl w:val="0"/>
          <w:numId w:val="2"/>
        </w:numPr>
        <w:spacing w:after="100"/>
      </w:pPr>
      <w:r>
        <w:rPr>
          <w:rFonts w:eastAsia="Arial"/>
        </w:rPr>
        <w:t xml:space="preserve">First room-temperature 2D MTJ benchmarking study comparing multiple </w:t>
      </w:r>
      <w:proofErr w:type="spellStart"/>
      <w:r>
        <w:rPr>
          <w:rFonts w:eastAsia="Arial"/>
        </w:rPr>
        <w:t>vdW</w:t>
      </w:r>
      <w:proofErr w:type="spellEnd"/>
      <w:r>
        <w:rPr>
          <w:rFonts w:eastAsia="Arial"/>
        </w:rPr>
        <w:t xml:space="preserve"> ferromagnet/barrier combinations.</w:t>
      </w:r>
    </w:p>
    <w:p w14:paraId="1BBB3BEA" w14:textId="77777777" w:rsidR="005636A6" w:rsidRDefault="00000000">
      <w:pPr>
        <w:pStyle w:val="Heading2"/>
        <w:pBdr>
          <w:bottom w:val="single" w:sz="4" w:space="2" w:color="2E6DA4"/>
        </w:pBdr>
        <w:spacing w:before="240"/>
      </w:pPr>
      <w:proofErr w:type="gramStart"/>
      <w:r>
        <w:rPr>
          <w:color w:val="2E6DA4"/>
        </w:rPr>
        <w:t>6.2  Broader</w:t>
      </w:r>
      <w:proofErr w:type="gramEnd"/>
      <w:r>
        <w:rPr>
          <w:color w:val="2E6DA4"/>
        </w:rPr>
        <w:t xml:space="preserve"> Impact</w:t>
      </w:r>
    </w:p>
    <w:p w14:paraId="78F63042" w14:textId="77777777" w:rsidR="005636A6" w:rsidRDefault="00000000">
      <w:pPr>
        <w:spacing w:after="160"/>
        <w:jc w:val="both"/>
      </w:pPr>
      <w:r>
        <w:rPr>
          <w:rFonts w:eastAsia="Arial"/>
        </w:rPr>
        <w:t>Success will directly accelerate development of ultra-low-power spintronic memory and logic, magnetic field sensors, and quantum information platforms. Open-access growth protocols and characterization datasets will reduce barriers for new entrants globally. The project will train [N] graduate students and [N] postdoctoral researchers in advanced 2D materials synthesis and characterization, contributing to the quantum-science workforce.</w:t>
      </w:r>
    </w:p>
    <w:p w14:paraId="17A65348" w14:textId="77777777" w:rsidR="005636A6" w:rsidRDefault="00000000">
      <w:pPr>
        <w:pStyle w:val="Heading1"/>
        <w:shd w:val="clear" w:color="auto" w:fill="1B3A6B"/>
        <w:spacing w:before="300" w:after="160"/>
        <w:ind w:left="160" w:right="160"/>
      </w:pPr>
      <w:r>
        <w:rPr>
          <w:color w:val="FFFFFF"/>
        </w:rPr>
        <w:t>7. Budget Justification</w:t>
      </w:r>
    </w:p>
    <w:p w14:paraId="62D5BC02" w14:textId="77777777" w:rsidR="005636A6" w:rsidRDefault="00000000">
      <w:pPr>
        <w:pStyle w:val="Heading2"/>
        <w:pBdr>
          <w:bottom w:val="single" w:sz="4" w:space="2" w:color="2E6DA4"/>
        </w:pBdr>
        <w:spacing w:before="240"/>
      </w:pPr>
      <w:proofErr w:type="gramStart"/>
      <w:r>
        <w:rPr>
          <w:color w:val="2E6DA4"/>
        </w:rPr>
        <w:lastRenderedPageBreak/>
        <w:t>7.1  Personnel</w:t>
      </w:r>
      <w:proofErr w:type="gramEnd"/>
    </w:p>
    <w:p w14:paraId="3C9A842D" w14:textId="77777777" w:rsidR="005636A6" w:rsidRDefault="00000000">
      <w:pPr>
        <w:pStyle w:val="ListParagraph"/>
        <w:numPr>
          <w:ilvl w:val="0"/>
          <w:numId w:val="2"/>
        </w:numPr>
        <w:spacing w:after="100"/>
      </w:pPr>
      <w:r>
        <w:rPr>
          <w:rFonts w:eastAsia="Arial"/>
        </w:rPr>
        <w:t>Principal Investigator: [AMOUNT]/year — project oversight, collaboration management.</w:t>
      </w:r>
    </w:p>
    <w:p w14:paraId="0ECD77F6" w14:textId="77777777" w:rsidR="005636A6" w:rsidRDefault="00000000">
      <w:pPr>
        <w:pStyle w:val="ListParagraph"/>
        <w:numPr>
          <w:ilvl w:val="0"/>
          <w:numId w:val="2"/>
        </w:numPr>
        <w:spacing w:after="100"/>
      </w:pPr>
      <w:r>
        <w:rPr>
          <w:rFonts w:eastAsia="Arial"/>
        </w:rPr>
        <w:t>2 × PhD Students (3 years each): [AMOUNT]/year — growth (Aim 1) and characterization (Aim 2).</w:t>
      </w:r>
    </w:p>
    <w:p w14:paraId="7B7FC206" w14:textId="77777777" w:rsidR="005636A6" w:rsidRDefault="00000000">
      <w:pPr>
        <w:pStyle w:val="ListParagraph"/>
        <w:numPr>
          <w:ilvl w:val="0"/>
          <w:numId w:val="2"/>
        </w:numPr>
        <w:spacing w:after="100"/>
      </w:pPr>
      <w:r>
        <w:rPr>
          <w:rFonts w:eastAsia="Arial"/>
        </w:rPr>
        <w:t>1 × Postdoctoral Researcher (2 years): [AMOUNT]/year — device fabrication and transport (Aim 3).</w:t>
      </w:r>
    </w:p>
    <w:p w14:paraId="6F436014" w14:textId="77777777" w:rsidR="005636A6" w:rsidRDefault="00000000">
      <w:pPr>
        <w:pStyle w:val="ListParagraph"/>
        <w:numPr>
          <w:ilvl w:val="0"/>
          <w:numId w:val="2"/>
        </w:numPr>
        <w:spacing w:after="100"/>
      </w:pPr>
      <w:r>
        <w:rPr>
          <w:rFonts w:eastAsia="Arial"/>
        </w:rPr>
        <w:t>Undergraduate Research Assistants: [AMOUNT]/year — sample preparation and data management.</w:t>
      </w:r>
    </w:p>
    <w:p w14:paraId="06C9E1DF" w14:textId="77777777" w:rsidR="005636A6" w:rsidRDefault="00000000">
      <w:pPr>
        <w:pStyle w:val="Heading2"/>
        <w:pBdr>
          <w:bottom w:val="single" w:sz="4" w:space="2" w:color="2E6DA4"/>
        </w:pBdr>
        <w:spacing w:before="240"/>
      </w:pPr>
      <w:proofErr w:type="gramStart"/>
      <w:r>
        <w:rPr>
          <w:color w:val="2E6DA4"/>
        </w:rPr>
        <w:t>7.2  Equipment</w:t>
      </w:r>
      <w:proofErr w:type="gramEnd"/>
      <w:r>
        <w:rPr>
          <w:color w:val="2E6DA4"/>
        </w:rPr>
        <w:t xml:space="preserve"> and Materials</w:t>
      </w:r>
    </w:p>
    <w:p w14:paraId="09EACC35" w14:textId="77777777" w:rsidR="005636A6" w:rsidRDefault="00000000">
      <w:pPr>
        <w:pStyle w:val="ListParagraph"/>
        <w:numPr>
          <w:ilvl w:val="0"/>
          <w:numId w:val="2"/>
        </w:numPr>
        <w:spacing w:after="100"/>
      </w:pPr>
      <w:r>
        <w:rPr>
          <w:rFonts w:eastAsia="Arial"/>
        </w:rPr>
        <w:t xml:space="preserve">MBE consumables (Cr, </w:t>
      </w:r>
      <w:proofErr w:type="spellStart"/>
      <w:r>
        <w:rPr>
          <w:rFonts w:eastAsia="Arial"/>
        </w:rPr>
        <w:t>Te</w:t>
      </w:r>
      <w:proofErr w:type="spellEnd"/>
      <w:r>
        <w:rPr>
          <w:rFonts w:eastAsia="Arial"/>
        </w:rPr>
        <w:t>, Fe, Ga, Mn, Re, S source materials): [AMOUNT]/year.</w:t>
      </w:r>
    </w:p>
    <w:p w14:paraId="0FA8B678" w14:textId="77777777" w:rsidR="005636A6" w:rsidRDefault="00000000">
      <w:pPr>
        <w:pStyle w:val="ListParagraph"/>
        <w:numPr>
          <w:ilvl w:val="0"/>
          <w:numId w:val="2"/>
        </w:numPr>
        <w:spacing w:after="100"/>
      </w:pPr>
      <w:r>
        <w:rPr>
          <w:rFonts w:eastAsia="Arial"/>
        </w:rPr>
        <w:t>CVD precursors and substrates (</w:t>
      </w:r>
      <w:proofErr w:type="spellStart"/>
      <w:r>
        <w:rPr>
          <w:rFonts w:eastAsia="Arial"/>
        </w:rPr>
        <w:t>SiC</w:t>
      </w:r>
      <w:proofErr w:type="spellEnd"/>
      <w:r>
        <w:rPr>
          <w:rFonts w:eastAsia="Arial"/>
        </w:rPr>
        <w:t xml:space="preserve">, HOPG, </w:t>
      </w:r>
      <w:proofErr w:type="spellStart"/>
      <w:r>
        <w:rPr>
          <w:rFonts w:eastAsia="Arial"/>
        </w:rPr>
        <w:t>SiO</w:t>
      </w:r>
      <w:proofErr w:type="spellEnd"/>
      <w:r>
        <w:rPr>
          <w:rFonts w:eastAsia="Arial"/>
        </w:rPr>
        <w:t>₂/Si, h-BN): [AMOUNT]/year.</w:t>
      </w:r>
    </w:p>
    <w:p w14:paraId="566CC952" w14:textId="77777777" w:rsidR="005636A6" w:rsidRDefault="00000000">
      <w:pPr>
        <w:pStyle w:val="ListParagraph"/>
        <w:numPr>
          <w:ilvl w:val="0"/>
          <w:numId w:val="2"/>
        </w:numPr>
        <w:spacing w:after="100"/>
      </w:pPr>
      <w:r>
        <w:rPr>
          <w:rFonts w:eastAsia="Arial"/>
        </w:rPr>
        <w:t>Synchrotron beam time (XMCD, XPS): [AMOUNT]/year.</w:t>
      </w:r>
    </w:p>
    <w:p w14:paraId="267443AE" w14:textId="77777777" w:rsidR="005636A6" w:rsidRDefault="00000000">
      <w:pPr>
        <w:pStyle w:val="ListParagraph"/>
        <w:numPr>
          <w:ilvl w:val="0"/>
          <w:numId w:val="2"/>
        </w:numPr>
        <w:spacing w:after="100"/>
      </w:pPr>
      <w:r>
        <w:rPr>
          <w:rFonts w:eastAsia="Arial"/>
        </w:rPr>
        <w:t>Cleanroom fabrication costs (e-beam lithography, sputter deposition): [AMOUNT]/year.</w:t>
      </w:r>
    </w:p>
    <w:p w14:paraId="55552B79" w14:textId="77777777" w:rsidR="005636A6" w:rsidRDefault="00000000">
      <w:pPr>
        <w:pStyle w:val="Heading2"/>
        <w:pBdr>
          <w:bottom w:val="single" w:sz="4" w:space="2" w:color="2E6DA4"/>
        </w:pBdr>
        <w:spacing w:before="240"/>
      </w:pPr>
      <w:proofErr w:type="gramStart"/>
      <w:r>
        <w:rPr>
          <w:color w:val="2E6DA4"/>
        </w:rPr>
        <w:t>7.3  Travel</w:t>
      </w:r>
      <w:proofErr w:type="gramEnd"/>
      <w:r>
        <w:rPr>
          <w:color w:val="2E6DA4"/>
        </w:rPr>
        <w:t xml:space="preserve"> and Dissemination</w:t>
      </w:r>
    </w:p>
    <w:p w14:paraId="3F71A2D0" w14:textId="77777777" w:rsidR="005636A6" w:rsidRDefault="00000000">
      <w:pPr>
        <w:pStyle w:val="ListParagraph"/>
        <w:numPr>
          <w:ilvl w:val="0"/>
          <w:numId w:val="2"/>
        </w:numPr>
        <w:spacing w:after="100"/>
      </w:pPr>
      <w:r>
        <w:rPr>
          <w:rFonts w:eastAsia="Arial"/>
        </w:rPr>
        <w:t>International conferences (MRS, APS, IEEE INTERMAG): [AMOUNT]/year.</w:t>
      </w:r>
    </w:p>
    <w:p w14:paraId="057FE7F2" w14:textId="77777777" w:rsidR="005636A6" w:rsidRDefault="00000000">
      <w:pPr>
        <w:pStyle w:val="ListParagraph"/>
        <w:numPr>
          <w:ilvl w:val="0"/>
          <w:numId w:val="2"/>
        </w:numPr>
        <w:spacing w:after="100"/>
      </w:pPr>
      <w:r>
        <w:rPr>
          <w:rFonts w:eastAsia="Arial"/>
        </w:rPr>
        <w:t>Open-access publication fees: [AMOUNT]/year.</w:t>
      </w:r>
    </w:p>
    <w:p w14:paraId="16F1F559" w14:textId="77777777" w:rsidR="005636A6" w:rsidRDefault="00000000">
      <w:pPr>
        <w:pStyle w:val="Heading1"/>
        <w:shd w:val="clear" w:color="auto" w:fill="1B3A6B"/>
        <w:spacing w:before="300" w:after="160"/>
        <w:ind w:left="160" w:right="160"/>
      </w:pPr>
      <w:r>
        <w:rPr>
          <w:color w:val="FFFFFF"/>
        </w:rPr>
        <w:t>8. Preliminary Data and PI Qualification</w:t>
      </w:r>
    </w:p>
    <w:p w14:paraId="5B5E2747" w14:textId="77777777" w:rsidR="005636A6" w:rsidRDefault="00000000">
      <w:pPr>
        <w:spacing w:after="160"/>
        <w:jc w:val="both"/>
      </w:pPr>
      <w:r>
        <w:rPr>
          <w:rFonts w:eastAsia="Arial"/>
        </w:rPr>
        <w:t>[TODO: Insert PI publication list, existing MBE/CVD capability evidence, prior magnetic characterization publications, and pilot data (e.g., initial RHEED patterns, preliminary SQUID loops, or DFT calculations for target materials).]</w:t>
      </w:r>
    </w:p>
    <w:p w14:paraId="4615C7BA" w14:textId="77777777" w:rsidR="005636A6" w:rsidRDefault="00000000">
      <w:pPr>
        <w:spacing w:after="80"/>
      </w:pPr>
      <w:r>
        <w:rPr>
          <w:rFonts w:eastAsia="Arial"/>
        </w:rPr>
        <w:t>Representative relevant publications from the PI group:</w:t>
      </w:r>
    </w:p>
    <w:p w14:paraId="4C9C0ADA" w14:textId="77777777" w:rsidR="005636A6" w:rsidRDefault="00000000">
      <w:pPr>
        <w:pStyle w:val="ListParagraph"/>
        <w:numPr>
          <w:ilvl w:val="0"/>
          <w:numId w:val="3"/>
        </w:numPr>
        <w:spacing w:after="80"/>
      </w:pPr>
      <w:r>
        <w:rPr>
          <w:rFonts w:eastAsia="Arial"/>
        </w:rPr>
        <w:t>[TODO: Reference 1 — 2D materials growth or magnetism paper]</w:t>
      </w:r>
    </w:p>
    <w:p w14:paraId="195936B2" w14:textId="77777777" w:rsidR="005636A6" w:rsidRDefault="00000000">
      <w:pPr>
        <w:pStyle w:val="ListParagraph"/>
        <w:numPr>
          <w:ilvl w:val="0"/>
          <w:numId w:val="3"/>
        </w:numPr>
        <w:spacing w:after="80"/>
      </w:pPr>
      <w:r>
        <w:rPr>
          <w:rFonts w:eastAsia="Arial"/>
        </w:rPr>
        <w:t>[TODO: Reference 2 — spintronics device or characterization paper]</w:t>
      </w:r>
    </w:p>
    <w:p w14:paraId="0E941AEA" w14:textId="77777777" w:rsidR="005636A6" w:rsidRDefault="00000000">
      <w:pPr>
        <w:pStyle w:val="ListParagraph"/>
        <w:numPr>
          <w:ilvl w:val="0"/>
          <w:numId w:val="3"/>
        </w:numPr>
        <w:spacing w:after="80"/>
      </w:pPr>
      <w:r>
        <w:rPr>
          <w:rFonts w:eastAsia="Arial"/>
        </w:rPr>
        <w:t>[TODO: Reference 3 — prior funding outcome, if applicable]</w:t>
      </w:r>
    </w:p>
    <w:p w14:paraId="62D94B16" w14:textId="77777777" w:rsidR="005636A6" w:rsidRDefault="00000000">
      <w:pPr>
        <w:pStyle w:val="Heading1"/>
        <w:shd w:val="clear" w:color="auto" w:fill="1B3A6B"/>
        <w:spacing w:before="300" w:after="160"/>
        <w:ind w:left="160" w:right="160"/>
      </w:pPr>
      <w:r>
        <w:rPr>
          <w:color w:val="FFFFFF"/>
        </w:rPr>
        <w:t>9. Data Management Plan</w:t>
      </w:r>
    </w:p>
    <w:p w14:paraId="45228127" w14:textId="77777777" w:rsidR="005636A6" w:rsidRDefault="00000000">
      <w:pPr>
        <w:spacing w:after="160"/>
        <w:jc w:val="both"/>
      </w:pPr>
      <w:r>
        <w:rPr>
          <w:rFonts w:eastAsia="Arial"/>
        </w:rPr>
        <w:t>All experimental data (RHEED videos, magnetometry loops, STEM images, ARPES spectra, transport curves) will be stored in a version-controlled institutional repository (DOI-minted) within 6 months of collection. Raw data will be deposited in an open repository (</w:t>
      </w:r>
      <w:proofErr w:type="spellStart"/>
      <w:r>
        <w:rPr>
          <w:rFonts w:eastAsia="Arial"/>
        </w:rPr>
        <w:t>Zenodo</w:t>
      </w:r>
      <w:proofErr w:type="spellEnd"/>
      <w:r>
        <w:rPr>
          <w:rFonts w:eastAsia="Arial"/>
        </w:rPr>
        <w:t xml:space="preserve"> or Materials Data Facility) upon publication of associated manuscripts. DFT codes and analysis scripts will be released via GitHub under an MIT license. No personally identifiable human </w:t>
      </w:r>
      <w:proofErr w:type="gramStart"/>
      <w:r>
        <w:rPr>
          <w:rFonts w:eastAsia="Arial"/>
        </w:rPr>
        <w:t>subjects</w:t>
      </w:r>
      <w:proofErr w:type="gramEnd"/>
      <w:r>
        <w:rPr>
          <w:rFonts w:eastAsia="Arial"/>
        </w:rPr>
        <w:t xml:space="preserve"> data will be collected.</w:t>
      </w:r>
    </w:p>
    <w:p w14:paraId="57C1A02A" w14:textId="77777777" w:rsidR="005636A6" w:rsidRDefault="00000000">
      <w:pPr>
        <w:pStyle w:val="Heading1"/>
        <w:shd w:val="clear" w:color="auto" w:fill="1B3A6B"/>
        <w:spacing w:before="300" w:after="160"/>
        <w:ind w:left="160" w:right="160"/>
      </w:pPr>
      <w:r>
        <w:rPr>
          <w:color w:val="FFFFFF"/>
        </w:rPr>
        <w:t>10. Selected References</w:t>
      </w:r>
    </w:p>
    <w:p w14:paraId="3A2A53C9" w14:textId="77777777" w:rsidR="005636A6" w:rsidRDefault="00000000">
      <w:pPr>
        <w:spacing w:after="80"/>
      </w:pPr>
      <w:r>
        <w:rPr>
          <w:rFonts w:eastAsia="Arial"/>
        </w:rPr>
        <w:t xml:space="preserve">1.  Qu Z. et al. Experimental Evidence of Room-Temperature Ferromagnetism in Semiconducting </w:t>
      </w:r>
      <w:proofErr w:type="spellStart"/>
      <w:r>
        <w:rPr>
          <w:rFonts w:eastAsia="Arial"/>
        </w:rPr>
        <w:t>MnS</w:t>
      </w:r>
      <w:proofErr w:type="spellEnd"/>
      <w:r>
        <w:rPr>
          <w:rFonts w:eastAsia="Arial"/>
        </w:rPr>
        <w:t>₂. J. Am. Chem. Soc. 2025, 147(34), 31212–31220.</w:t>
      </w:r>
    </w:p>
    <w:p w14:paraId="04DD0869" w14:textId="77777777" w:rsidR="005636A6" w:rsidRDefault="00000000">
      <w:pPr>
        <w:spacing w:after="80"/>
      </w:pPr>
      <w:r>
        <w:rPr>
          <w:rFonts w:eastAsia="Arial"/>
        </w:rPr>
        <w:t xml:space="preserve">2.  Zhang G. et al. Above-room-temperature strong intrinsic ferromagnetism in 2D </w:t>
      </w:r>
      <w:proofErr w:type="spellStart"/>
      <w:r>
        <w:rPr>
          <w:rFonts w:eastAsia="Arial"/>
        </w:rPr>
        <w:t>vdW</w:t>
      </w:r>
      <w:proofErr w:type="spellEnd"/>
      <w:r>
        <w:rPr>
          <w:rFonts w:eastAsia="Arial"/>
        </w:rPr>
        <w:t xml:space="preserve"> </w:t>
      </w:r>
      <w:proofErr w:type="spellStart"/>
      <w:r>
        <w:rPr>
          <w:rFonts w:eastAsia="Arial"/>
        </w:rPr>
        <w:t>Fe₃GaTe</w:t>
      </w:r>
      <w:proofErr w:type="spellEnd"/>
      <w:r>
        <w:rPr>
          <w:rFonts w:eastAsia="Arial"/>
        </w:rPr>
        <w:t>₂ with large PMA. Nat. Commun. 2022, 13, 5067.</w:t>
      </w:r>
    </w:p>
    <w:p w14:paraId="2E985513" w14:textId="77777777" w:rsidR="005636A6" w:rsidRDefault="00000000">
      <w:pPr>
        <w:spacing w:after="80"/>
      </w:pPr>
      <w:r>
        <w:rPr>
          <w:rFonts w:eastAsia="Arial"/>
        </w:rPr>
        <w:t xml:space="preserve">3.  Zhang X. et al. Room-temperature intrinsic ferromagnetism in epitaxial </w:t>
      </w:r>
      <w:proofErr w:type="spellStart"/>
      <w:r>
        <w:rPr>
          <w:rFonts w:eastAsia="Arial"/>
        </w:rPr>
        <w:t>CrTe</w:t>
      </w:r>
      <w:proofErr w:type="spellEnd"/>
      <w:r>
        <w:rPr>
          <w:rFonts w:eastAsia="Arial"/>
        </w:rPr>
        <w:t>₂ ultrathin films. Nat. Commun. 2021, 12, 2492.</w:t>
      </w:r>
    </w:p>
    <w:p w14:paraId="250484D5" w14:textId="77777777" w:rsidR="005636A6" w:rsidRDefault="00000000">
      <w:pPr>
        <w:spacing w:after="80"/>
      </w:pPr>
      <w:r>
        <w:rPr>
          <w:rFonts w:eastAsia="Arial"/>
        </w:rPr>
        <w:lastRenderedPageBreak/>
        <w:t xml:space="preserve">4.  Zhang L. et al. Vacancies Engineering in Molybdenum Boride </w:t>
      </w:r>
      <w:proofErr w:type="spellStart"/>
      <w:r>
        <w:rPr>
          <w:rFonts w:eastAsia="Arial"/>
        </w:rPr>
        <w:t>MBene</w:t>
      </w:r>
      <w:proofErr w:type="spellEnd"/>
      <w:r>
        <w:rPr>
          <w:rFonts w:eastAsia="Arial"/>
        </w:rPr>
        <w:t xml:space="preserve"> Nanosheets to Activate Room-Temperature Ferromagnetism. Adv. Mater. 2024, 2411765.</w:t>
      </w:r>
    </w:p>
    <w:p w14:paraId="3968AB6F" w14:textId="77777777" w:rsidR="005636A6" w:rsidRDefault="00000000">
      <w:pPr>
        <w:spacing w:after="80"/>
      </w:pPr>
      <w:r>
        <w:rPr>
          <w:rFonts w:eastAsia="Arial"/>
        </w:rPr>
        <w:t xml:space="preserve">5.  Dixit A. et al. 2D Magnetic and Topological Quantum Materials for Ultralow Power Spintronics. Adv. </w:t>
      </w:r>
      <w:proofErr w:type="spellStart"/>
      <w:r>
        <w:rPr>
          <w:rFonts w:eastAsia="Arial"/>
        </w:rPr>
        <w:t>Funct</w:t>
      </w:r>
      <w:proofErr w:type="spellEnd"/>
      <w:r>
        <w:rPr>
          <w:rFonts w:eastAsia="Arial"/>
        </w:rPr>
        <w:t>. Mater. 2026, 2528026.</w:t>
      </w:r>
    </w:p>
    <w:p w14:paraId="7F8582CF" w14:textId="77777777" w:rsidR="005636A6" w:rsidRDefault="00000000">
      <w:pPr>
        <w:spacing w:after="80"/>
      </w:pPr>
      <w:r>
        <w:rPr>
          <w:rFonts w:eastAsia="Arial"/>
        </w:rPr>
        <w:t xml:space="preserve">6.  Li J. et al. Unveiling the Magnetic Origin of High Tᶜ in </w:t>
      </w:r>
      <w:proofErr w:type="spellStart"/>
      <w:r>
        <w:rPr>
          <w:rFonts w:eastAsia="Arial"/>
        </w:rPr>
        <w:t>Fe₃XY</w:t>
      </w:r>
      <w:proofErr w:type="spellEnd"/>
      <w:r>
        <w:rPr>
          <w:rFonts w:eastAsia="Arial"/>
        </w:rPr>
        <w:t>₂ Family. ACS Materials Letters 2026, 8(3), 881–888.</w:t>
      </w:r>
    </w:p>
    <w:p w14:paraId="3FF835F6" w14:textId="77777777" w:rsidR="005636A6" w:rsidRDefault="00000000">
      <w:pPr>
        <w:spacing w:after="80"/>
      </w:pPr>
      <w:r>
        <w:rPr>
          <w:rFonts w:eastAsia="Arial"/>
        </w:rPr>
        <w:t>7.  Seo J. et al. Two-dimensional ferromagnetic materials: Enabling next-generation spintronics at the nanoscale. ScienceDirect 2026.</w:t>
      </w:r>
    </w:p>
    <w:p w14:paraId="303AF476" w14:textId="77777777" w:rsidR="005636A6" w:rsidRDefault="00000000">
      <w:pPr>
        <w:spacing w:after="80"/>
      </w:pPr>
      <w:r>
        <w:rPr>
          <w:rFonts w:eastAsia="Arial"/>
        </w:rPr>
        <w:t xml:space="preserve">8.  </w:t>
      </w:r>
      <w:proofErr w:type="spellStart"/>
      <w:r>
        <w:rPr>
          <w:rFonts w:eastAsia="Arial"/>
        </w:rPr>
        <w:t>Albaridy</w:t>
      </w:r>
      <w:proofErr w:type="spellEnd"/>
      <w:r>
        <w:rPr>
          <w:rFonts w:eastAsia="Arial"/>
        </w:rPr>
        <w:t xml:space="preserve"> R. et al. Large-area synthesis of Fe₅₋</w:t>
      </w:r>
      <w:proofErr w:type="spellStart"/>
      <w:r>
        <w:rPr>
          <w:rFonts w:eastAsia="Arial"/>
        </w:rPr>
        <w:t>xGeTe</w:t>
      </w:r>
      <w:proofErr w:type="spellEnd"/>
      <w:r>
        <w:rPr>
          <w:rFonts w:eastAsia="Arial"/>
        </w:rPr>
        <w:t xml:space="preserve">₂/graphene </w:t>
      </w:r>
      <w:proofErr w:type="spellStart"/>
      <w:r>
        <w:rPr>
          <w:rFonts w:eastAsia="Arial"/>
        </w:rPr>
        <w:t>vdW</w:t>
      </w:r>
      <w:proofErr w:type="spellEnd"/>
      <w:r>
        <w:rPr>
          <w:rFonts w:eastAsia="Arial"/>
        </w:rPr>
        <w:t xml:space="preserve"> heterostructures with Tᶜ above room temperature. arXiv:2303.10252.</w:t>
      </w:r>
    </w:p>
    <w:p w14:paraId="60C12164" w14:textId="77777777" w:rsidR="005636A6" w:rsidRDefault="00000000">
      <w:pPr>
        <w:spacing w:after="80"/>
      </w:pPr>
      <w:r>
        <w:rPr>
          <w:rFonts w:eastAsia="Arial"/>
        </w:rPr>
        <w:t xml:space="preserve">9.  Seo J. et al. Room-temperature ferromagnetism in bilayer </w:t>
      </w:r>
      <w:proofErr w:type="spellStart"/>
      <w:r>
        <w:rPr>
          <w:rFonts w:eastAsia="Arial"/>
        </w:rPr>
        <w:t>FeSb</w:t>
      </w:r>
      <w:proofErr w:type="spellEnd"/>
      <w:r>
        <w:rPr>
          <w:rFonts w:eastAsia="Arial"/>
        </w:rPr>
        <w:t>/</w:t>
      </w:r>
      <w:proofErr w:type="spellStart"/>
      <w:r>
        <w:rPr>
          <w:rFonts w:eastAsia="Arial"/>
        </w:rPr>
        <w:t>SrTiO</w:t>
      </w:r>
      <w:proofErr w:type="spellEnd"/>
      <w:proofErr w:type="gramStart"/>
      <w:r>
        <w:rPr>
          <w:rFonts w:eastAsia="Arial"/>
        </w:rPr>
        <w:t>₃(</w:t>
      </w:r>
      <w:proofErr w:type="gramEnd"/>
      <w:r>
        <w:rPr>
          <w:rFonts w:eastAsia="Arial"/>
        </w:rPr>
        <w:t>001) with Kagome lattice. PMC 2024.</w:t>
      </w:r>
    </w:p>
    <w:p w14:paraId="6C2AE0F4" w14:textId="77777777" w:rsidR="005636A6" w:rsidRDefault="00000000">
      <w:pPr>
        <w:spacing w:after="80"/>
      </w:pPr>
      <w:r>
        <w:rPr>
          <w:rFonts w:eastAsia="Arial"/>
        </w:rPr>
        <w:t xml:space="preserve">10. Zhao Y. et al. First-Principles Prediction of Room-Temperature Ferromagnetic Semiconductor </w:t>
      </w:r>
      <w:proofErr w:type="spellStart"/>
      <w:r>
        <w:rPr>
          <w:rFonts w:eastAsia="Arial"/>
        </w:rPr>
        <w:t>MnS</w:t>
      </w:r>
      <w:proofErr w:type="spellEnd"/>
      <w:r>
        <w:rPr>
          <w:rFonts w:eastAsia="Arial"/>
        </w:rPr>
        <w:t xml:space="preserve">₂ via </w:t>
      </w:r>
      <w:proofErr w:type="spellStart"/>
      <w:r>
        <w:rPr>
          <w:rFonts w:eastAsia="Arial"/>
        </w:rPr>
        <w:t>Isovalent</w:t>
      </w:r>
      <w:proofErr w:type="spellEnd"/>
      <w:r>
        <w:rPr>
          <w:rFonts w:eastAsia="Arial"/>
        </w:rPr>
        <w:t xml:space="preserve"> Alloying. J. Phys. Chem. C 2020.</w:t>
      </w:r>
    </w:p>
    <w:sectPr w:rsidR="005636A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1416" w14:textId="77777777" w:rsidR="007566F6" w:rsidRDefault="007566F6">
      <w:r>
        <w:separator/>
      </w:r>
    </w:p>
  </w:endnote>
  <w:endnote w:type="continuationSeparator" w:id="0">
    <w:p w14:paraId="6EB47012" w14:textId="77777777" w:rsidR="007566F6" w:rsidRDefault="00756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DA67" w14:textId="77777777" w:rsidR="005636A6" w:rsidRDefault="00000000">
    <w:pPr>
      <w:pBdr>
        <w:top w:val="single" w:sz="2" w:space="2" w:color="CCCCCC"/>
      </w:pBdr>
      <w:spacing w:before="60"/>
      <w:jc w:val="center"/>
    </w:pPr>
    <w:r>
      <w:rPr>
        <w:rFonts w:eastAsia="Arial"/>
        <w:color w:val="888888"/>
        <w:sz w:val="18"/>
        <w:szCs w:val="18"/>
      </w:rPr>
      <w:t xml:space="preserve">Confidential — For Review Purposes Only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BC43E3">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33454" w14:textId="77777777" w:rsidR="007566F6" w:rsidRDefault="007566F6">
      <w:r>
        <w:separator/>
      </w:r>
    </w:p>
  </w:footnote>
  <w:footnote w:type="continuationSeparator" w:id="0">
    <w:p w14:paraId="6282264F" w14:textId="77777777" w:rsidR="007566F6" w:rsidRDefault="00756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8D24" w14:textId="77777777" w:rsidR="005636A6" w:rsidRDefault="00000000">
    <w:pPr>
      <w:pBdr>
        <w:bottom w:val="single" w:sz="4" w:space="2" w:color="2E6DA4"/>
      </w:pBdr>
      <w:spacing w:after="60"/>
    </w:pPr>
    <w:r>
      <w:rPr>
        <w:rFonts w:eastAsia="Arial"/>
        <w:b/>
        <w:bCs/>
        <w:color w:val="2E6DA4"/>
        <w:sz w:val="18"/>
        <w:szCs w:val="18"/>
      </w:rPr>
      <w:t xml:space="preserve">Research </w:t>
    </w:r>
    <w:proofErr w:type="gramStart"/>
    <w:r>
      <w:rPr>
        <w:rFonts w:eastAsia="Arial"/>
        <w:b/>
        <w:bCs/>
        <w:color w:val="2E6DA4"/>
        <w:sz w:val="18"/>
        <w:szCs w:val="18"/>
      </w:rPr>
      <w:t>Proposal  |</w:t>
    </w:r>
    <w:proofErr w:type="gramEnd"/>
    <w:r>
      <w:rPr>
        <w:rFonts w:eastAsia="Arial"/>
        <w:b/>
        <w:bCs/>
        <w:color w:val="2E6DA4"/>
        <w:sz w:val="18"/>
        <w:szCs w:val="18"/>
      </w:rPr>
      <w:t xml:space="preserve">  2D Ferromagnetic Materials at Room Temperature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13845"/>
    <w:multiLevelType w:val="hybridMultilevel"/>
    <w:tmpl w:val="AB183684"/>
    <w:lvl w:ilvl="0" w:tplc="F1E8F452">
      <w:start w:val="1"/>
      <w:numFmt w:val="bullet"/>
      <w:lvlText w:val="●"/>
      <w:lvlJc w:val="left"/>
      <w:pPr>
        <w:ind w:left="720" w:hanging="360"/>
      </w:pPr>
    </w:lvl>
    <w:lvl w:ilvl="1" w:tplc="931AB8D0">
      <w:start w:val="1"/>
      <w:numFmt w:val="bullet"/>
      <w:lvlText w:val="○"/>
      <w:lvlJc w:val="left"/>
      <w:pPr>
        <w:ind w:left="1440" w:hanging="360"/>
      </w:pPr>
    </w:lvl>
    <w:lvl w:ilvl="2" w:tplc="7ACC5E0A">
      <w:start w:val="1"/>
      <w:numFmt w:val="bullet"/>
      <w:lvlText w:val="■"/>
      <w:lvlJc w:val="left"/>
      <w:pPr>
        <w:ind w:left="2160" w:hanging="360"/>
      </w:pPr>
    </w:lvl>
    <w:lvl w:ilvl="3" w:tplc="08ECB5C0">
      <w:start w:val="1"/>
      <w:numFmt w:val="bullet"/>
      <w:lvlText w:val="●"/>
      <w:lvlJc w:val="left"/>
      <w:pPr>
        <w:ind w:left="2880" w:hanging="360"/>
      </w:pPr>
    </w:lvl>
    <w:lvl w:ilvl="4" w:tplc="0BB81760">
      <w:start w:val="1"/>
      <w:numFmt w:val="bullet"/>
      <w:lvlText w:val="○"/>
      <w:lvlJc w:val="left"/>
      <w:pPr>
        <w:ind w:left="3600" w:hanging="360"/>
      </w:pPr>
    </w:lvl>
    <w:lvl w:ilvl="5" w:tplc="1C82F104">
      <w:start w:val="1"/>
      <w:numFmt w:val="bullet"/>
      <w:lvlText w:val="■"/>
      <w:lvlJc w:val="left"/>
      <w:pPr>
        <w:ind w:left="4320" w:hanging="360"/>
      </w:pPr>
    </w:lvl>
    <w:lvl w:ilvl="6" w:tplc="AF803046">
      <w:start w:val="1"/>
      <w:numFmt w:val="bullet"/>
      <w:lvlText w:val="●"/>
      <w:lvlJc w:val="left"/>
      <w:pPr>
        <w:ind w:left="5040" w:hanging="360"/>
      </w:pPr>
    </w:lvl>
    <w:lvl w:ilvl="7" w:tplc="4F5AC63A">
      <w:start w:val="1"/>
      <w:numFmt w:val="bullet"/>
      <w:lvlText w:val="●"/>
      <w:lvlJc w:val="left"/>
      <w:pPr>
        <w:ind w:left="5760" w:hanging="360"/>
      </w:pPr>
    </w:lvl>
    <w:lvl w:ilvl="8" w:tplc="1EE23350">
      <w:start w:val="1"/>
      <w:numFmt w:val="bullet"/>
      <w:lvlText w:val="●"/>
      <w:lvlJc w:val="left"/>
      <w:pPr>
        <w:ind w:left="6480" w:hanging="360"/>
      </w:pPr>
    </w:lvl>
  </w:abstractNum>
  <w:abstractNum w:abstractNumId="1" w15:restartNumberingAfterBreak="0">
    <w:nsid w:val="41D83D5B"/>
    <w:multiLevelType w:val="hybridMultilevel"/>
    <w:tmpl w:val="FB42A94A"/>
    <w:lvl w:ilvl="0" w:tplc="0EDA022C">
      <w:start w:val="1"/>
      <w:numFmt w:val="decimal"/>
      <w:lvlText w:val="%1."/>
      <w:lvlJc w:val="left"/>
      <w:pPr>
        <w:ind w:left="720" w:hanging="360"/>
      </w:pPr>
    </w:lvl>
    <w:lvl w:ilvl="1" w:tplc="9856A0E0">
      <w:numFmt w:val="decimal"/>
      <w:lvlText w:val=""/>
      <w:lvlJc w:val="left"/>
    </w:lvl>
    <w:lvl w:ilvl="2" w:tplc="47A293AE">
      <w:numFmt w:val="decimal"/>
      <w:lvlText w:val=""/>
      <w:lvlJc w:val="left"/>
    </w:lvl>
    <w:lvl w:ilvl="3" w:tplc="2228A038">
      <w:numFmt w:val="decimal"/>
      <w:lvlText w:val=""/>
      <w:lvlJc w:val="left"/>
    </w:lvl>
    <w:lvl w:ilvl="4" w:tplc="FE98D256">
      <w:numFmt w:val="decimal"/>
      <w:lvlText w:val=""/>
      <w:lvlJc w:val="left"/>
    </w:lvl>
    <w:lvl w:ilvl="5" w:tplc="BC98ABE8">
      <w:numFmt w:val="decimal"/>
      <w:lvlText w:val=""/>
      <w:lvlJc w:val="left"/>
    </w:lvl>
    <w:lvl w:ilvl="6" w:tplc="5C7A1BCC">
      <w:numFmt w:val="decimal"/>
      <w:lvlText w:val=""/>
      <w:lvlJc w:val="left"/>
    </w:lvl>
    <w:lvl w:ilvl="7" w:tplc="C9680FA8">
      <w:numFmt w:val="decimal"/>
      <w:lvlText w:val=""/>
      <w:lvlJc w:val="left"/>
    </w:lvl>
    <w:lvl w:ilvl="8" w:tplc="F72C18B6">
      <w:numFmt w:val="decimal"/>
      <w:lvlText w:val=""/>
      <w:lvlJc w:val="left"/>
    </w:lvl>
  </w:abstractNum>
  <w:abstractNum w:abstractNumId="2" w15:restartNumberingAfterBreak="0">
    <w:nsid w:val="49CF5FE3"/>
    <w:multiLevelType w:val="hybridMultilevel"/>
    <w:tmpl w:val="C57843CC"/>
    <w:lvl w:ilvl="0" w:tplc="39BAF64C">
      <w:start w:val="1"/>
      <w:numFmt w:val="bullet"/>
      <w:lvlText w:val="•"/>
      <w:lvlJc w:val="left"/>
      <w:pPr>
        <w:ind w:left="720" w:hanging="360"/>
      </w:pPr>
    </w:lvl>
    <w:lvl w:ilvl="1" w:tplc="5F884FC8">
      <w:numFmt w:val="decimal"/>
      <w:lvlText w:val=""/>
      <w:lvlJc w:val="left"/>
    </w:lvl>
    <w:lvl w:ilvl="2" w:tplc="3AF8C246">
      <w:numFmt w:val="decimal"/>
      <w:lvlText w:val=""/>
      <w:lvlJc w:val="left"/>
    </w:lvl>
    <w:lvl w:ilvl="3" w:tplc="90F2FDC0">
      <w:numFmt w:val="decimal"/>
      <w:lvlText w:val=""/>
      <w:lvlJc w:val="left"/>
    </w:lvl>
    <w:lvl w:ilvl="4" w:tplc="5A805D96">
      <w:numFmt w:val="decimal"/>
      <w:lvlText w:val=""/>
      <w:lvlJc w:val="left"/>
    </w:lvl>
    <w:lvl w:ilvl="5" w:tplc="9698F386">
      <w:numFmt w:val="decimal"/>
      <w:lvlText w:val=""/>
      <w:lvlJc w:val="left"/>
    </w:lvl>
    <w:lvl w:ilvl="6" w:tplc="0F8826E6">
      <w:numFmt w:val="decimal"/>
      <w:lvlText w:val=""/>
      <w:lvlJc w:val="left"/>
    </w:lvl>
    <w:lvl w:ilvl="7" w:tplc="B38A651C">
      <w:numFmt w:val="decimal"/>
      <w:lvlText w:val=""/>
      <w:lvlJc w:val="left"/>
    </w:lvl>
    <w:lvl w:ilvl="8" w:tplc="6248CF76">
      <w:numFmt w:val="decimal"/>
      <w:lvlText w:val=""/>
      <w:lvlJc w:val="left"/>
    </w:lvl>
  </w:abstractNum>
  <w:num w:numId="1" w16cid:durableId="1988321232">
    <w:abstractNumId w:val="0"/>
    <w:lvlOverride w:ilvl="0">
      <w:startOverride w:val="1"/>
    </w:lvlOverride>
  </w:num>
  <w:num w:numId="2" w16cid:durableId="1409383466">
    <w:abstractNumId w:val="2"/>
    <w:lvlOverride w:ilvl="0">
      <w:startOverride w:val="1"/>
    </w:lvlOverride>
  </w:num>
  <w:num w:numId="3" w16cid:durableId="705107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6A6"/>
    <w:rsid w:val="005636A6"/>
    <w:rsid w:val="00610E96"/>
    <w:rsid w:val="007566F6"/>
    <w:rsid w:val="00BC4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B1DE"/>
  <w15:docId w15:val="{EB5A911A-B75F-49D0-A2D1-05045AFC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280" w:after="140"/>
      <w:outlineLvl w:val="0"/>
    </w:pPr>
    <w:rPr>
      <w:rFonts w:eastAsia="Arial"/>
      <w:b/>
      <w:bCs/>
      <w:sz w:val="32"/>
      <w:szCs w:val="32"/>
    </w:rPr>
  </w:style>
  <w:style w:type="paragraph" w:styleId="Heading2">
    <w:name w:val="heading 2"/>
    <w:uiPriority w:val="9"/>
    <w:unhideWhenUsed/>
    <w:qFormat/>
    <w:pPr>
      <w:spacing w:before="220" w:after="100"/>
      <w:outlineLvl w:val="1"/>
    </w:pPr>
    <w:rPr>
      <w:rFonts w:eastAsia="Arial"/>
      <w:b/>
      <w:bCs/>
      <w:sz w:val="26"/>
      <w:szCs w:val="26"/>
    </w:rPr>
  </w:style>
  <w:style w:type="paragraph" w:styleId="Heading3">
    <w:name w:val="heading 3"/>
    <w:uiPriority w:val="9"/>
    <w:unhideWhenUsed/>
    <w:qFormat/>
    <w:pPr>
      <w:spacing w:before="160" w:after="80"/>
      <w:outlineLvl w:val="2"/>
    </w:pPr>
    <w:rPr>
      <w:rFonts w:eastAsia="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2122</Words>
  <Characters>12102</Characters>
  <Application>Microsoft Office Word</Application>
  <DocSecurity>0</DocSecurity>
  <Lines>100</Lines>
  <Paragraphs>28</Paragraphs>
  <ScaleCrop>false</ScaleCrop>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KUMAR</cp:lastModifiedBy>
  <cp:revision>3</cp:revision>
  <dcterms:created xsi:type="dcterms:W3CDTF">2026-05-25T09:00:00Z</dcterms:created>
  <dcterms:modified xsi:type="dcterms:W3CDTF">2026-05-25T09:03:00Z</dcterms:modified>
</cp:coreProperties>
</file>