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Pr="00D25EB2" w:rsidRDefault="006F6216" w:rsidP="0000562F">
      <w:r w:rsidRPr="006F6216">
        <w:t>A relational database table’s main key, also known as a primary keyword, is a column that is unique for each record. It is a distinctive identifier.</w:t>
      </w:r>
      <w:r>
        <w:t xml:space="preserve"> </w:t>
      </w:r>
      <w:proofErr w:type="gramStart"/>
      <w:r w:rsidRPr="006F6216">
        <w:t>The</w:t>
      </w:r>
      <w:proofErr w:type="gramEnd"/>
      <w:r w:rsidRPr="006F6216">
        <w:t xml:space="preserve"> primary key of a relational database must be unique. Every row of data must have a primary key value and none of the rows can be null</w:t>
      </w:r>
    </w:p>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2F7860"/>
    <w:rsid w:val="00302003"/>
    <w:rsid w:val="00330EB1"/>
    <w:rsid w:val="003969F7"/>
    <w:rsid w:val="004225EC"/>
    <w:rsid w:val="00423293"/>
    <w:rsid w:val="00424665"/>
    <w:rsid w:val="00475EDB"/>
    <w:rsid w:val="00484594"/>
    <w:rsid w:val="00496AB8"/>
    <w:rsid w:val="005320F0"/>
    <w:rsid w:val="005E326C"/>
    <w:rsid w:val="00622733"/>
    <w:rsid w:val="006529E3"/>
    <w:rsid w:val="0068529F"/>
    <w:rsid w:val="00696911"/>
    <w:rsid w:val="00697915"/>
    <w:rsid w:val="006B5530"/>
    <w:rsid w:val="006F6216"/>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7387A"/>
    <w:rsid w:val="00B81B74"/>
    <w:rsid w:val="00C31681"/>
    <w:rsid w:val="00CB240C"/>
    <w:rsid w:val="00D25EB2"/>
    <w:rsid w:val="00D5175F"/>
    <w:rsid w:val="00D61128"/>
    <w:rsid w:val="00D71844"/>
    <w:rsid w:val="00DA20E4"/>
    <w:rsid w:val="00DA3C61"/>
    <w:rsid w:val="00DC0F5B"/>
    <w:rsid w:val="00DC3D39"/>
    <w:rsid w:val="00DF0173"/>
    <w:rsid w:val="00E3566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37</cp:revision>
  <dcterms:created xsi:type="dcterms:W3CDTF">2025-04-17T07:01:00Z</dcterms:created>
  <dcterms:modified xsi:type="dcterms:W3CDTF">2025-05-14T09:20:00Z</dcterms:modified>
</cp:coreProperties>
</file>