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proofErr w:type="spellStart"/>
      <w:r w:rsidRPr="00DA3754">
        <w:t>max_depth</w:t>
      </w:r>
      <w:proofErr w:type="spellEnd"/>
      <w:r w:rsidRPr="00DA3754">
        <w:t xml:space="preserve">: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proofErr w:type="spellStart"/>
      <w:r w:rsidRPr="00DA3754">
        <w:t>max_leaf_nodes</w:t>
      </w:r>
      <w:proofErr w:type="spellEnd"/>
      <w:r w:rsidRPr="00DA3754">
        <w:t>: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t>
      </w:r>
      <w:bookmarkStart w:id="0" w:name="_Hlk198054920"/>
      <w:r w:rsidRPr="008616F4">
        <w:rPr>
          <w:b/>
          <w:bCs/>
          <w:sz w:val="28"/>
          <w:szCs w:val="28"/>
        </w:rPr>
        <w:t xml:space="preserve">What is the bias-variance </w:t>
      </w:r>
      <w:proofErr w:type="spellStart"/>
      <w:r w:rsidRPr="008616F4">
        <w:rPr>
          <w:b/>
          <w:bCs/>
          <w:sz w:val="28"/>
          <w:szCs w:val="28"/>
        </w:rPr>
        <w:t>tradeoff</w:t>
      </w:r>
      <w:proofErr w:type="spellEnd"/>
      <w:r w:rsidRPr="008616F4">
        <w:rPr>
          <w:b/>
          <w:bCs/>
          <w:sz w:val="28"/>
          <w:szCs w:val="28"/>
        </w:rPr>
        <w:t>?</w:t>
      </w:r>
    </w:p>
    <w:p w14:paraId="71F45072" w14:textId="77777777" w:rsidR="008616F4" w:rsidRDefault="008616F4" w:rsidP="00DE6EA9">
      <w:r w:rsidRPr="008616F4">
        <w:t xml:space="preserve">First, let’s understand what is bias and variance: </w:t>
      </w:r>
    </w:p>
    <w:p w14:paraId="732A1AB1" w14:textId="3B6FF224"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w:t>
      </w:r>
      <w:proofErr w:type="spellStart"/>
      <w:r w:rsidRPr="008616F4">
        <w:t>i.e</w:t>
      </w:r>
      <w:proofErr w:type="spellEnd"/>
      <w:r w:rsidRPr="008616F4">
        <w:t xml:space="preserve"> the underfitting. </w:t>
      </w:r>
      <w:r w:rsidR="00AD0247">
        <w:t xml:space="preserve">It will </w:t>
      </w:r>
      <w:r w:rsidR="00AD0247" w:rsidRPr="00AD0247">
        <w:rPr>
          <w:b/>
          <w:bCs/>
        </w:rPr>
        <w:t>occur training dataset</w:t>
      </w:r>
    </w:p>
    <w:p w14:paraId="2690A883" w14:textId="0E9E4D1E" w:rsidR="008616F4" w:rsidRDefault="008616F4" w:rsidP="00DE6EA9">
      <w:pPr>
        <w:rPr>
          <w:b/>
          <w:bCs/>
        </w:rPr>
      </w:pPr>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00AD0247">
        <w:t xml:space="preserve">Variance is </w:t>
      </w:r>
      <w:proofErr w:type="gramStart"/>
      <w:r w:rsidR="00AD0247" w:rsidRPr="00AD0247">
        <w:rPr>
          <w:b/>
          <w:bCs/>
        </w:rPr>
        <w:t>occur</w:t>
      </w:r>
      <w:proofErr w:type="gramEnd"/>
      <w:r w:rsidR="00AD0247" w:rsidRPr="00AD0247">
        <w:rPr>
          <w:b/>
          <w:bCs/>
        </w:rPr>
        <w:t xml:space="preserve"> on test data</w:t>
      </w:r>
      <w:r w:rsidR="00AD0247">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r w:rsidR="00AD0247">
        <w:rPr>
          <w:b/>
          <w:bCs/>
        </w:rPr>
        <w:t>.</w:t>
      </w:r>
    </w:p>
    <w:p w14:paraId="23D6D757" w14:textId="20EDC41F" w:rsidR="00AD0247" w:rsidRDefault="00AD0247" w:rsidP="00DE6EA9">
      <w:r>
        <w:rPr>
          <w:b/>
          <w:bCs/>
        </w:rPr>
        <w:t xml:space="preserve">NOTE: </w:t>
      </w:r>
      <w:r>
        <w:t>If Bias increases then variance decrease</w:t>
      </w:r>
    </w:p>
    <w:p w14:paraId="31B59DA1" w14:textId="73B31F8D" w:rsidR="00AD0247" w:rsidRPr="00AD0247" w:rsidRDefault="00AD0247" w:rsidP="00DE6EA9">
      <w:r>
        <w:t xml:space="preserve">            If Variance increases then bias decrease</w:t>
      </w:r>
      <w:bookmarkEnd w:id="0"/>
    </w:p>
    <w:p w14:paraId="5EBA0A76" w14:textId="77777777" w:rsidR="00E455D2" w:rsidRDefault="00E455D2" w:rsidP="00DE6EA9"/>
    <w:p w14:paraId="05872AA0" w14:textId="77777777" w:rsidR="00E455D2" w:rsidRPr="00E455D2" w:rsidRDefault="00E455D2" w:rsidP="00DE6EA9">
      <w:pPr>
        <w:rPr>
          <w:sz w:val="28"/>
          <w:szCs w:val="28"/>
        </w:rPr>
      </w:pPr>
      <w:r w:rsidRPr="00E455D2">
        <w:rPr>
          <w:b/>
          <w:bCs/>
          <w:sz w:val="28"/>
          <w:szCs w:val="28"/>
        </w:rPr>
        <w:t>13. Is it always necessary to use an 80:20 ratio for the train test split?</w:t>
      </w:r>
      <w:r w:rsidRPr="00E455D2">
        <w:rPr>
          <w:sz w:val="28"/>
          <w:szCs w:val="28"/>
        </w:rPr>
        <w:t xml:space="preserve"> </w:t>
      </w:r>
    </w:p>
    <w:p w14:paraId="5EBD8CF6" w14:textId="5AD3AC55" w:rsidR="00E455D2" w:rsidRDefault="00E455D2" w:rsidP="00DE6EA9">
      <w:r w:rsidRPr="00E455D2">
        <w:t xml:space="preserve">No, there is no such necessary condition that the data must be split into 80:20 ratio. The main purpose of the splitting is to have some data which the model has not seen previously so, that we can evaluate the performance of the model. If the dataset contains let’s say 50,000 rows of </w:t>
      </w:r>
      <w:proofErr w:type="gramStart"/>
      <w:r w:rsidRPr="00E455D2">
        <w:t>data</w:t>
      </w:r>
      <w:proofErr w:type="gramEnd"/>
      <w:r w:rsidRPr="00E455D2">
        <w:t xml:space="preserve"> then only 1000 or maybe 2000 rows of data is enough to evaluate the model’s performance.</w:t>
      </w:r>
    </w:p>
    <w:p w14:paraId="3C3CEF00" w14:textId="77777777" w:rsidR="002E4776" w:rsidRDefault="002E4776" w:rsidP="00DE6EA9"/>
    <w:p w14:paraId="4C179CA7" w14:textId="1609041E" w:rsidR="002E4776" w:rsidRPr="002E4776" w:rsidRDefault="002E4776" w:rsidP="00DE6EA9">
      <w:pPr>
        <w:rPr>
          <w:b/>
          <w:bCs/>
          <w:sz w:val="28"/>
          <w:szCs w:val="28"/>
        </w:rPr>
      </w:pPr>
      <w:r w:rsidRPr="002E4776">
        <w:rPr>
          <w:b/>
          <w:bCs/>
          <w:sz w:val="28"/>
          <w:szCs w:val="28"/>
        </w:rPr>
        <w:t>14. What is PCA?</w:t>
      </w:r>
    </w:p>
    <w:p w14:paraId="06DB9183" w14:textId="559F36E9" w:rsidR="000F4616" w:rsidRDefault="002E4776" w:rsidP="00DE6EA9">
      <w:r w:rsidRPr="002E4776">
        <w:t xml:space="preserve">Principal Component Analysis (PCA) is an unsupervised machine learning technique used for dimensionality reduction. It reduces the number of features in a dataset while preserving most of its variance—often around 95%. This helps simplify the data, making it easier to visualize, </w:t>
      </w:r>
      <w:proofErr w:type="spellStart"/>
      <w:r w:rsidRPr="002E4776">
        <w:t>analyze</w:t>
      </w:r>
      <w:proofErr w:type="spellEnd"/>
      <w:r w:rsidRPr="002E4776">
        <w:t>, or use in other algorithms. PCA is especially useful for high-dimensional data and is commonly applied in tasks like image compression and data visualization.</w:t>
      </w:r>
    </w:p>
    <w:p w14:paraId="6A6C3E4E" w14:textId="77777777" w:rsidR="000F4616" w:rsidRPr="000F4616" w:rsidRDefault="000F4616" w:rsidP="00DE6EA9">
      <w:pPr>
        <w:rPr>
          <w:b/>
          <w:bCs/>
          <w:sz w:val="28"/>
          <w:szCs w:val="28"/>
        </w:rPr>
      </w:pPr>
      <w:r w:rsidRPr="000F4616">
        <w:rPr>
          <w:b/>
          <w:bCs/>
          <w:sz w:val="28"/>
          <w:szCs w:val="28"/>
        </w:rPr>
        <w:t xml:space="preserve">15. What is one-shot learning? </w:t>
      </w:r>
    </w:p>
    <w:p w14:paraId="6E3733D6" w14:textId="2E2C0944" w:rsidR="000F4616" w:rsidRDefault="000F4616" w:rsidP="00DE6EA9">
      <w:r w:rsidRPr="000F4616">
        <w:t>One-shot learning is a concept in machine learning where the model is trained to recognize the patterns in datasets from a single example instead of training on large datasets. This is useful when we haven’t large datasets. It is applied to find the similarity and dissimilarities between the two images.</w:t>
      </w:r>
    </w:p>
    <w:p w14:paraId="1C234F4F" w14:textId="244271F8" w:rsidR="00C34E6E" w:rsidRPr="00C34E6E" w:rsidRDefault="00C34E6E" w:rsidP="00DE6EA9">
      <w:pPr>
        <w:rPr>
          <w:b/>
          <w:bCs/>
          <w:sz w:val="28"/>
          <w:szCs w:val="28"/>
        </w:rPr>
      </w:pPr>
      <w:r w:rsidRPr="00C34E6E">
        <w:rPr>
          <w:b/>
          <w:bCs/>
          <w:sz w:val="28"/>
          <w:szCs w:val="28"/>
        </w:rPr>
        <w:t xml:space="preserve">16. What is the difference between Manhattan Distance and Euclidean distance? </w:t>
      </w:r>
    </w:p>
    <w:p w14:paraId="361A8441" w14:textId="77777777" w:rsidR="00C34E6E" w:rsidRDefault="00C34E6E" w:rsidP="00DE6EA9">
      <w:r w:rsidRPr="00C34E6E">
        <w:t xml:space="preserve">Both Manhattan Distance and Euclidean distance are two distance measurement techniques.  </w:t>
      </w:r>
      <w:r w:rsidRPr="00C34E6E">
        <w:rPr>
          <w:b/>
          <w:bCs/>
        </w:rPr>
        <w:t>Manhattan Distance (MD)</w:t>
      </w:r>
      <w:r w:rsidRPr="00C34E6E">
        <w:t xml:space="preserve"> is calculated as the </w:t>
      </w:r>
      <w:r w:rsidRPr="00C34E6E">
        <w:rPr>
          <w:b/>
          <w:bCs/>
        </w:rPr>
        <w:t>sum of absolute differences between the coordinates of two points</w:t>
      </w:r>
      <w:r w:rsidRPr="00C34E6E">
        <w:t xml:space="preserve"> along each dimension.  </w:t>
      </w:r>
    </w:p>
    <w:p w14:paraId="57EE6835" w14:textId="77777777" w:rsidR="00C34E6E" w:rsidRDefault="00C34E6E" w:rsidP="00DE6EA9">
      <w:r w:rsidRPr="00C34E6E">
        <w:t xml:space="preserve">MD= x–x + </w:t>
      </w:r>
      <w:r w:rsidRPr="00C34E6E">
        <w:rPr>
          <w:rFonts w:ascii="Cambria Math" w:hAnsi="Cambria Math" w:cs="Cambria Math"/>
        </w:rPr>
        <w:t>∣</w:t>
      </w:r>
      <w:r w:rsidRPr="00C34E6E">
        <w:t xml:space="preserve"> 1 2</w:t>
      </w:r>
      <w:r w:rsidRPr="00C34E6E">
        <w:rPr>
          <w:rFonts w:ascii="Cambria Math" w:hAnsi="Cambria Math" w:cs="Cambria Math"/>
        </w:rPr>
        <w:t>∣</w:t>
      </w:r>
      <w:r w:rsidRPr="00C34E6E">
        <w:rPr>
          <w:rFonts w:ascii="Calibri" w:hAnsi="Calibri" w:cs="Calibri"/>
        </w:rPr>
        <w:t> </w:t>
      </w:r>
      <w:r w:rsidRPr="00C34E6E">
        <w:t xml:space="preserve">y </w:t>
      </w:r>
      <w:r w:rsidRPr="00C34E6E">
        <w:rPr>
          <w:rFonts w:ascii="Calibri" w:hAnsi="Calibri" w:cs="Calibri"/>
        </w:rPr>
        <w:t>−</w:t>
      </w:r>
      <w:r w:rsidRPr="00C34E6E">
        <w:t xml:space="preserve">y </w:t>
      </w:r>
      <w:r w:rsidRPr="00C34E6E">
        <w:rPr>
          <w:rFonts w:ascii="Cambria Math" w:hAnsi="Cambria Math" w:cs="Cambria Math"/>
        </w:rPr>
        <w:t>∣</w:t>
      </w:r>
      <w:r w:rsidRPr="00C34E6E">
        <w:t xml:space="preserve"> 1 2 </w:t>
      </w:r>
      <w:r w:rsidRPr="00C34E6E">
        <w:rPr>
          <w:rFonts w:ascii="Cambria Math" w:hAnsi="Cambria Math" w:cs="Cambria Math"/>
        </w:rPr>
        <w:t>∣</w:t>
      </w:r>
      <w:r w:rsidRPr="00C34E6E">
        <w:t xml:space="preserve"> </w:t>
      </w:r>
    </w:p>
    <w:p w14:paraId="2DC0457E" w14:textId="77777777" w:rsidR="00C34E6E" w:rsidRDefault="00C34E6E" w:rsidP="00DE6EA9">
      <w:r w:rsidRPr="00C34E6E">
        <w:rPr>
          <w:b/>
          <w:bCs/>
        </w:rPr>
        <w:t>Euclidean Distance (ED)</w:t>
      </w:r>
      <w:r w:rsidRPr="00C34E6E">
        <w:t xml:space="preserve"> is calculated as the </w:t>
      </w:r>
      <w:r w:rsidRPr="00C34E6E">
        <w:rPr>
          <w:b/>
          <w:bCs/>
        </w:rPr>
        <w:t>square root of the sum of squared differences between the coordinates of two points</w:t>
      </w:r>
      <w:r w:rsidRPr="00C34E6E">
        <w:t xml:space="preserve"> along each dimension. </w:t>
      </w:r>
    </w:p>
    <w:p w14:paraId="05F56D78" w14:textId="77777777" w:rsidR="00C34E6E" w:rsidRDefault="00C34E6E" w:rsidP="00DE6EA9">
      <w:r w:rsidRPr="00C34E6E">
        <w:t>ED= x</w:t>
      </w:r>
      <w:r w:rsidRPr="00C34E6E">
        <w:rPr>
          <w:rFonts w:ascii="Calibri" w:hAnsi="Calibri" w:cs="Calibri"/>
        </w:rPr>
        <w:t>–</w:t>
      </w:r>
      <w:r w:rsidRPr="00C34E6E">
        <w:t xml:space="preserve">x + y </w:t>
      </w:r>
      <w:r w:rsidRPr="00C34E6E">
        <w:rPr>
          <w:rFonts w:ascii="Calibri" w:hAnsi="Calibri" w:cs="Calibri"/>
        </w:rPr>
        <w:t>−</w:t>
      </w:r>
      <w:r w:rsidRPr="00C34E6E">
        <w:t xml:space="preserve">y </w:t>
      </w:r>
      <w:proofErr w:type="gramStart"/>
      <w:r w:rsidRPr="00C34E6E">
        <w:t>( 1</w:t>
      </w:r>
      <w:proofErr w:type="gramEnd"/>
      <w:r w:rsidRPr="00C34E6E">
        <w:t xml:space="preserve"> 2)2 </w:t>
      </w:r>
      <w:proofErr w:type="gramStart"/>
      <w:r w:rsidRPr="00C34E6E">
        <w:t>( 1</w:t>
      </w:r>
      <w:proofErr w:type="gramEnd"/>
      <w:r w:rsidRPr="00C34E6E">
        <w:t xml:space="preserve"> 2)2 </w:t>
      </w:r>
    </w:p>
    <w:p w14:paraId="306C2C9C" w14:textId="4436D0CF" w:rsidR="00C34E6E" w:rsidRDefault="00C34E6E" w:rsidP="00DE6EA9">
      <w:r w:rsidRPr="00C34E6E">
        <w:t>Generally, these two metrics are used to evaluate the effectiveness of the clusters formed by a clustering algorithm.</w:t>
      </w:r>
    </w:p>
    <w:p w14:paraId="4F558DC6" w14:textId="77777777" w:rsidR="006E1C09" w:rsidRPr="006E1C09" w:rsidRDefault="006E1C09" w:rsidP="00DE6EA9">
      <w:pPr>
        <w:rPr>
          <w:b/>
          <w:bCs/>
          <w:sz w:val="28"/>
          <w:szCs w:val="28"/>
        </w:rPr>
      </w:pPr>
    </w:p>
    <w:p w14:paraId="700118D7" w14:textId="628674BB" w:rsidR="006E1C09" w:rsidRDefault="006E1C09" w:rsidP="00DE6EA9">
      <w:pPr>
        <w:rPr>
          <w:b/>
          <w:bCs/>
          <w:sz w:val="28"/>
          <w:szCs w:val="28"/>
        </w:rPr>
      </w:pPr>
      <w:r w:rsidRPr="006E1C09">
        <w:rPr>
          <w:b/>
          <w:bCs/>
          <w:sz w:val="28"/>
          <w:szCs w:val="28"/>
        </w:rPr>
        <w:lastRenderedPageBreak/>
        <w:t>17. Difference Between AI, ML, and DL</w:t>
      </w:r>
    </w:p>
    <w:p w14:paraId="727E3532" w14:textId="7A318CED" w:rsidR="006E1C09" w:rsidRDefault="006E1C09" w:rsidP="00DE6EA9">
      <w:pPr>
        <w:rPr>
          <w:b/>
          <w:bCs/>
          <w:sz w:val="28"/>
          <w:szCs w:val="28"/>
        </w:rPr>
      </w:pPr>
      <w:r w:rsidRPr="006E1C09">
        <w:rPr>
          <w:b/>
          <w:bCs/>
          <w:noProof/>
          <w:sz w:val="28"/>
          <w:szCs w:val="28"/>
        </w:rPr>
        <w:drawing>
          <wp:inline distT="0" distB="0" distL="0" distR="0" wp14:anchorId="59F84FF7" wp14:editId="2A9179B6">
            <wp:extent cx="3909060" cy="2029454"/>
            <wp:effectExtent l="0" t="0" r="0" b="9525"/>
            <wp:docPr id="82056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65859" name=""/>
                    <pic:cNvPicPr/>
                  </pic:nvPicPr>
                  <pic:blipFill>
                    <a:blip r:embed="rId18"/>
                    <a:stretch>
                      <a:fillRect/>
                    </a:stretch>
                  </pic:blipFill>
                  <pic:spPr>
                    <a:xfrm>
                      <a:off x="0" y="0"/>
                      <a:ext cx="3918106" cy="2034150"/>
                    </a:xfrm>
                    <a:prstGeom prst="rect">
                      <a:avLst/>
                    </a:prstGeom>
                  </pic:spPr>
                </pic:pic>
              </a:graphicData>
            </a:graphic>
          </wp:inline>
        </w:drawing>
      </w:r>
    </w:p>
    <w:p w14:paraId="048D47F8" w14:textId="59DF53C6" w:rsidR="006E1C09" w:rsidRDefault="006E1C09" w:rsidP="00DE6EA9">
      <w:pPr>
        <w:rPr>
          <w:b/>
          <w:bCs/>
          <w:sz w:val="28"/>
          <w:szCs w:val="28"/>
        </w:rPr>
      </w:pPr>
      <w:r w:rsidRPr="006E1C09">
        <w:rPr>
          <w:b/>
          <w:bCs/>
          <w:noProof/>
          <w:sz w:val="28"/>
          <w:szCs w:val="28"/>
        </w:rPr>
        <w:drawing>
          <wp:inline distT="0" distB="0" distL="0" distR="0" wp14:anchorId="679DB66F" wp14:editId="2935216D">
            <wp:extent cx="4183380" cy="1531522"/>
            <wp:effectExtent l="0" t="0" r="7620" b="0"/>
            <wp:docPr id="196838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84727" name=""/>
                    <pic:cNvPicPr/>
                  </pic:nvPicPr>
                  <pic:blipFill>
                    <a:blip r:embed="rId19"/>
                    <a:stretch>
                      <a:fillRect/>
                    </a:stretch>
                  </pic:blipFill>
                  <pic:spPr>
                    <a:xfrm>
                      <a:off x="0" y="0"/>
                      <a:ext cx="4198152" cy="1536930"/>
                    </a:xfrm>
                    <a:prstGeom prst="rect">
                      <a:avLst/>
                    </a:prstGeom>
                  </pic:spPr>
                </pic:pic>
              </a:graphicData>
            </a:graphic>
          </wp:inline>
        </w:drawing>
      </w:r>
    </w:p>
    <w:p w14:paraId="77F74DB5" w14:textId="5833A5C2" w:rsidR="006E1C09" w:rsidRDefault="006E1C09" w:rsidP="00DE6EA9">
      <w:pPr>
        <w:rPr>
          <w:b/>
          <w:bCs/>
          <w:sz w:val="28"/>
          <w:szCs w:val="28"/>
        </w:rPr>
      </w:pPr>
      <w:r w:rsidRPr="006E1C09">
        <w:rPr>
          <w:b/>
          <w:bCs/>
          <w:noProof/>
          <w:sz w:val="28"/>
          <w:szCs w:val="28"/>
        </w:rPr>
        <w:drawing>
          <wp:inline distT="0" distB="0" distL="0" distR="0" wp14:anchorId="506AE88E" wp14:editId="44E42EB5">
            <wp:extent cx="3672840" cy="1403787"/>
            <wp:effectExtent l="0" t="0" r="3810" b="6350"/>
            <wp:docPr id="15848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1079" name=""/>
                    <pic:cNvPicPr/>
                  </pic:nvPicPr>
                  <pic:blipFill>
                    <a:blip r:embed="rId20"/>
                    <a:stretch>
                      <a:fillRect/>
                    </a:stretch>
                  </pic:blipFill>
                  <pic:spPr>
                    <a:xfrm>
                      <a:off x="0" y="0"/>
                      <a:ext cx="3680171" cy="1406589"/>
                    </a:xfrm>
                    <a:prstGeom prst="rect">
                      <a:avLst/>
                    </a:prstGeom>
                  </pic:spPr>
                </pic:pic>
              </a:graphicData>
            </a:graphic>
          </wp:inline>
        </w:drawing>
      </w:r>
    </w:p>
    <w:p w14:paraId="346FAD8D" w14:textId="350A993D" w:rsidR="00AD43DD" w:rsidRDefault="00AD43DD" w:rsidP="00DE6EA9">
      <w:pPr>
        <w:rPr>
          <w:b/>
          <w:bCs/>
          <w:sz w:val="28"/>
          <w:szCs w:val="28"/>
        </w:rPr>
      </w:pPr>
      <w:r>
        <w:rPr>
          <w:b/>
          <w:bCs/>
          <w:sz w:val="28"/>
          <w:szCs w:val="28"/>
        </w:rPr>
        <w:t>18. Difference between One Hot Encoding and Ordinal Encoding</w:t>
      </w:r>
    </w:p>
    <w:p w14:paraId="18D82930" w14:textId="77777777" w:rsidR="00AD43DD" w:rsidRPr="00AD43DD" w:rsidRDefault="00AD43DD" w:rsidP="00AD43DD">
      <w:r w:rsidRPr="00AD43DD">
        <w:t>Both one</w:t>
      </w:r>
      <w:r w:rsidRPr="00AD43DD">
        <w:noBreakHyphen/>
        <w:t>hot encoding and ordinal encoding transform categorical features into numbers, but they serve different situations:</w:t>
      </w:r>
    </w:p>
    <w:p w14:paraId="37B0C8F1" w14:textId="77777777" w:rsidR="00AD43DD" w:rsidRPr="00AD43DD" w:rsidRDefault="00AD43DD" w:rsidP="00AD43DD">
      <w:pPr>
        <w:numPr>
          <w:ilvl w:val="0"/>
          <w:numId w:val="6"/>
        </w:numPr>
      </w:pPr>
      <w:r w:rsidRPr="00AD43DD">
        <w:rPr>
          <w:b/>
          <w:bCs/>
        </w:rPr>
        <w:t>One</w:t>
      </w:r>
      <w:r w:rsidRPr="00AD43DD">
        <w:rPr>
          <w:b/>
          <w:bCs/>
        </w:rPr>
        <w:noBreakHyphen/>
        <w:t>hot encoding</w:t>
      </w:r>
    </w:p>
    <w:p w14:paraId="1419895D" w14:textId="77777777" w:rsidR="00AD43DD" w:rsidRPr="00AD43DD" w:rsidRDefault="00AD43DD" w:rsidP="00AD43DD">
      <w:pPr>
        <w:numPr>
          <w:ilvl w:val="1"/>
          <w:numId w:val="6"/>
        </w:numPr>
      </w:pPr>
      <w:r w:rsidRPr="00AD43DD">
        <w:t>Creates a separate binary column for every category.</w:t>
      </w:r>
    </w:p>
    <w:p w14:paraId="32B77706" w14:textId="77777777" w:rsidR="00AD43DD" w:rsidRPr="00AD43DD" w:rsidRDefault="00AD43DD" w:rsidP="00AD43DD">
      <w:pPr>
        <w:numPr>
          <w:ilvl w:val="1"/>
          <w:numId w:val="6"/>
        </w:numPr>
      </w:pPr>
      <w:r w:rsidRPr="00AD43DD">
        <w:t>Each row gets a 1 in the column that matches its category and 0 in all others.</w:t>
      </w:r>
    </w:p>
    <w:p w14:paraId="435DEA89" w14:textId="77777777" w:rsidR="00AD43DD" w:rsidRPr="00AD43DD" w:rsidRDefault="00AD43DD" w:rsidP="00AD43DD">
      <w:pPr>
        <w:numPr>
          <w:ilvl w:val="1"/>
          <w:numId w:val="6"/>
        </w:numPr>
      </w:pPr>
      <w:r w:rsidRPr="00AD43DD">
        <w:t xml:space="preserve">Best for nominal data where the categories have </w:t>
      </w:r>
      <w:r w:rsidRPr="00AD43DD">
        <w:rPr>
          <w:b/>
          <w:bCs/>
        </w:rPr>
        <w:t>no inherent order</w:t>
      </w:r>
      <w:r w:rsidRPr="00AD43DD">
        <w:t>.</w:t>
      </w:r>
    </w:p>
    <w:p w14:paraId="04FB5CF2" w14:textId="77777777" w:rsidR="00AD43DD" w:rsidRPr="00AD43DD" w:rsidRDefault="00AD43DD" w:rsidP="00AD43DD">
      <w:pPr>
        <w:numPr>
          <w:ilvl w:val="0"/>
          <w:numId w:val="6"/>
        </w:numPr>
      </w:pPr>
      <w:r w:rsidRPr="00AD43DD">
        <w:rPr>
          <w:b/>
          <w:bCs/>
        </w:rPr>
        <w:t>Ordinal encoding</w:t>
      </w:r>
    </w:p>
    <w:p w14:paraId="3A2954DB" w14:textId="77777777" w:rsidR="00AD43DD" w:rsidRPr="00AD43DD" w:rsidRDefault="00AD43DD" w:rsidP="00AD43DD">
      <w:pPr>
        <w:numPr>
          <w:ilvl w:val="1"/>
          <w:numId w:val="6"/>
        </w:numPr>
      </w:pPr>
      <w:r w:rsidRPr="00AD43DD">
        <w:t>Maps each category to an integer from 0 … n</w:t>
      </w:r>
      <w:r w:rsidRPr="00AD43DD">
        <w:noBreakHyphen/>
        <w:t>1, reflecting a defined order or rank.</w:t>
      </w:r>
    </w:p>
    <w:p w14:paraId="5EA91E16" w14:textId="77777777" w:rsidR="00AD43DD" w:rsidRPr="00AD43DD" w:rsidRDefault="00AD43DD" w:rsidP="00AD43DD">
      <w:pPr>
        <w:numPr>
          <w:ilvl w:val="1"/>
          <w:numId w:val="6"/>
        </w:numPr>
      </w:pPr>
      <w:r w:rsidRPr="00AD43DD">
        <w:t>Produces a single column of ordered numeric labels.</w:t>
      </w:r>
    </w:p>
    <w:p w14:paraId="396323AA" w14:textId="165C2A4E" w:rsidR="00FB1243" w:rsidRDefault="00AD43DD" w:rsidP="00FB1243">
      <w:pPr>
        <w:numPr>
          <w:ilvl w:val="1"/>
          <w:numId w:val="6"/>
        </w:numPr>
      </w:pPr>
      <w:r w:rsidRPr="00AD43DD">
        <w:t xml:space="preserve">Suitable when the categories have a </w:t>
      </w:r>
      <w:r w:rsidRPr="00AD43DD">
        <w:rPr>
          <w:b/>
          <w:bCs/>
        </w:rPr>
        <w:t>meaningful order</w:t>
      </w:r>
      <w:r w:rsidRPr="00AD43DD">
        <w:t>.</w:t>
      </w:r>
    </w:p>
    <w:p w14:paraId="456AD31B" w14:textId="77777777" w:rsidR="00FB1243" w:rsidRPr="00FB1243" w:rsidRDefault="00FB1243" w:rsidP="00FB1243">
      <w:pPr>
        <w:rPr>
          <w:b/>
          <w:bCs/>
          <w:sz w:val="28"/>
          <w:szCs w:val="28"/>
        </w:rPr>
      </w:pPr>
      <w:r w:rsidRPr="00FB1243">
        <w:rPr>
          <w:b/>
          <w:bCs/>
          <w:sz w:val="28"/>
          <w:szCs w:val="28"/>
        </w:rPr>
        <w:lastRenderedPageBreak/>
        <w:t xml:space="preserve">19. </w:t>
      </w:r>
      <w:r w:rsidRPr="00FB1243">
        <w:rPr>
          <w:b/>
          <w:bCs/>
          <w:sz w:val="28"/>
          <w:szCs w:val="28"/>
        </w:rPr>
        <w:t xml:space="preserve">How can you conclude about the model’s performance using the confusion matrix? </w:t>
      </w:r>
    </w:p>
    <w:p w14:paraId="00A5F369" w14:textId="2AE59AA7" w:rsidR="00FB1243" w:rsidRPr="00AD43DD" w:rsidRDefault="00FB1243" w:rsidP="00FB1243">
      <w:r w:rsidRPr="00FB1243">
        <w:t>Confusion matrix summarizes the performance of a classification model. In a confusion matrix, we get four types of output (in case of a binary classification problem) which are TP, TN, FP, and FN. As we know that there are two diagonals possible in a square, and one of these two diagonals represents the numbers for which our model’s prediction and the true labels are the same. Our target is also to maximize the values along these diagonals. From the confusion matrix, we can calculate various evaluation metrics like accuracy, precision, recall, F1 score, etc</w:t>
      </w:r>
    </w:p>
    <w:p w14:paraId="5133E4A4" w14:textId="35EC5567" w:rsidR="00AD43DD" w:rsidRPr="00AD43DD" w:rsidRDefault="00AD43DD" w:rsidP="00DE6EA9"/>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47FD"/>
    <w:multiLevelType w:val="multilevel"/>
    <w:tmpl w:val="EE6EB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2"/>
  </w:num>
  <w:num w:numId="2" w16cid:durableId="1538541439">
    <w:abstractNumId w:val="1"/>
  </w:num>
  <w:num w:numId="3" w16cid:durableId="1565481785">
    <w:abstractNumId w:val="4"/>
  </w:num>
  <w:num w:numId="4" w16cid:durableId="1980719279">
    <w:abstractNumId w:val="3"/>
  </w:num>
  <w:num w:numId="5" w16cid:durableId="71199282">
    <w:abstractNumId w:val="5"/>
  </w:num>
  <w:num w:numId="6" w16cid:durableId="360597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0F4616"/>
    <w:rsid w:val="0011617E"/>
    <w:rsid w:val="001433E0"/>
    <w:rsid w:val="00157492"/>
    <w:rsid w:val="001856C6"/>
    <w:rsid w:val="001F32F9"/>
    <w:rsid w:val="00247A03"/>
    <w:rsid w:val="00255A95"/>
    <w:rsid w:val="002E4776"/>
    <w:rsid w:val="00346F64"/>
    <w:rsid w:val="00367356"/>
    <w:rsid w:val="003A35E2"/>
    <w:rsid w:val="003E09D7"/>
    <w:rsid w:val="00491852"/>
    <w:rsid w:val="004E1F66"/>
    <w:rsid w:val="00500EC5"/>
    <w:rsid w:val="005034F3"/>
    <w:rsid w:val="0051768F"/>
    <w:rsid w:val="00517EB0"/>
    <w:rsid w:val="0052454E"/>
    <w:rsid w:val="0052580B"/>
    <w:rsid w:val="00535E60"/>
    <w:rsid w:val="005555D1"/>
    <w:rsid w:val="00584E51"/>
    <w:rsid w:val="00585DE8"/>
    <w:rsid w:val="005B6F96"/>
    <w:rsid w:val="0061561B"/>
    <w:rsid w:val="006E1C09"/>
    <w:rsid w:val="00730638"/>
    <w:rsid w:val="00792E57"/>
    <w:rsid w:val="008010DD"/>
    <w:rsid w:val="00807D6C"/>
    <w:rsid w:val="00840E52"/>
    <w:rsid w:val="008540DA"/>
    <w:rsid w:val="008616F4"/>
    <w:rsid w:val="008A4E93"/>
    <w:rsid w:val="008B2227"/>
    <w:rsid w:val="008C204E"/>
    <w:rsid w:val="008E44C6"/>
    <w:rsid w:val="008F49C7"/>
    <w:rsid w:val="0091174F"/>
    <w:rsid w:val="00930D4B"/>
    <w:rsid w:val="00A0265E"/>
    <w:rsid w:val="00A30BA5"/>
    <w:rsid w:val="00A50681"/>
    <w:rsid w:val="00A60B40"/>
    <w:rsid w:val="00AD0247"/>
    <w:rsid w:val="00AD43DD"/>
    <w:rsid w:val="00B00764"/>
    <w:rsid w:val="00B258F1"/>
    <w:rsid w:val="00B34E8D"/>
    <w:rsid w:val="00BB09F4"/>
    <w:rsid w:val="00BC52E6"/>
    <w:rsid w:val="00BF590E"/>
    <w:rsid w:val="00C174AD"/>
    <w:rsid w:val="00C234E5"/>
    <w:rsid w:val="00C34E6E"/>
    <w:rsid w:val="00C405EE"/>
    <w:rsid w:val="00C663C2"/>
    <w:rsid w:val="00C70E50"/>
    <w:rsid w:val="00C81599"/>
    <w:rsid w:val="00CA6093"/>
    <w:rsid w:val="00CD7D9C"/>
    <w:rsid w:val="00D5175F"/>
    <w:rsid w:val="00D57BEB"/>
    <w:rsid w:val="00D6112D"/>
    <w:rsid w:val="00D632B7"/>
    <w:rsid w:val="00D65B98"/>
    <w:rsid w:val="00DA3243"/>
    <w:rsid w:val="00DA3754"/>
    <w:rsid w:val="00DA3C61"/>
    <w:rsid w:val="00DC7C18"/>
    <w:rsid w:val="00DD0DA0"/>
    <w:rsid w:val="00DD1722"/>
    <w:rsid w:val="00DE6EA9"/>
    <w:rsid w:val="00E1277E"/>
    <w:rsid w:val="00E2206B"/>
    <w:rsid w:val="00E455D2"/>
    <w:rsid w:val="00EC449A"/>
    <w:rsid w:val="00ED4E7D"/>
    <w:rsid w:val="00F10288"/>
    <w:rsid w:val="00F64F2B"/>
    <w:rsid w:val="00FB124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01256">
      <w:bodyDiv w:val="1"/>
      <w:marLeft w:val="0"/>
      <w:marRight w:val="0"/>
      <w:marTop w:val="0"/>
      <w:marBottom w:val="0"/>
      <w:divBdr>
        <w:top w:val="none" w:sz="0" w:space="0" w:color="auto"/>
        <w:left w:val="none" w:sz="0" w:space="0" w:color="auto"/>
        <w:bottom w:val="none" w:sz="0" w:space="0" w:color="auto"/>
        <w:right w:val="none" w:sz="0" w:space="0" w:color="auto"/>
      </w:divBdr>
    </w:div>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1159928897">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537</TotalTime>
  <Pages>11</Pages>
  <Words>1894</Words>
  <Characters>10801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61</cp:revision>
  <dcterms:created xsi:type="dcterms:W3CDTF">2025-04-17T07:07:00Z</dcterms:created>
  <dcterms:modified xsi:type="dcterms:W3CDTF">2025-05-19T14:31:00Z</dcterms:modified>
</cp:coreProperties>
</file>