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color w:val="000000"/>
        </w:rPr>
        <w:t>Typed Evidence Graphs for Reliable Local Code Repair</w:t>
      </w:r>
    </w:p>
    <w:p>
      <w:pPr>
        <w:pStyle w:val="Subtitle"/>
      </w:pPr>
      <w:r>
        <w:t>A local Gemma 4 study with pilot experiments and follow-up repair evaluations</w:t>
      </w:r>
    </w:p>
    <w:p>
      <w:r>
        <w:rPr>
          <w:color w:val="000000"/>
        </w:rPr>
        <w:t>Rajab Baig</w:t>
        <w:br/>
        <w:t>30 September 2026</w:t>
      </w:r>
    </w:p>
    <w:p>
      <w:pPr>
        <w:pStyle w:val="Heading1"/>
      </w:pPr>
      <w:r>
        <w:rPr>
          <w:color w:val="000000"/>
        </w:rPr>
        <w:t>Abstract</w:t>
      </w:r>
    </w:p>
    <w:p>
      <w:r>
        <w:t>This study asks whether structured code evidence can help a local Gemma 4 agent repair Python defects. I tested six historical defects under three conditions: source tools alone (A), source tools with an abstract syntax tree graph (B), and graph evidence with a conservative edit check (C). Condition A repaired one defect, while B and C repaired none. Most unsuccessful runs ended before the agent produced a valid patch.</w:t>
      </w:r>
    </w:p>
    <w:p>
      <w:r>
        <w:t>The project also included three pilots, six later GitHub issue trials, and a Black runner compatibility case. Later trials produced one repair that passed its selected tests, one abstention, and four invalid outputs. All three Black attempts stopped because of incompatible action formats. These phases are reported separately because their protocols differed.</w:t>
      </w:r>
    </w:p>
    <w:p>
      <w:pPr>
        <w:pStyle w:val="Heading1"/>
      </w:pPr>
      <w:r>
        <w:rPr>
          <w:color w:val="000000"/>
        </w:rPr>
        <w:t>1 Introduction</w:t>
      </w:r>
    </w:p>
    <w:p>
      <w:r>
        <w:t>An agent must find relevant code, understand the defect, apply an edit, and verify it. SWE-bench evaluates this broader repository setting [1]. I investigated whether structured evidence helps a smaller local model use retrieved code within fixed resource limits.</w:t>
      </w:r>
    </w:p>
    <w:p>
      <w:r>
        <w:t>The main comparison kept the model, starting revisions, budgets, and verification policy fixed. Later trials explored a single edit-or-abstain response and a revised interactive runner, using separate protocols.</w:t>
      </w:r>
    </w:p>
    <w:p>
      <w:r>
        <w:t>The records identify 16 distinct repair tasks: three pilots, six held-out tasks, six later tasks, and one compatibility task. P2 had several calibration attempts; V03C had three attempts on one defect. Screening-only candidates are listed separately.</w:t>
      </w:r>
    </w:p>
    <w:p>
      <w:pPr>
        <w:pStyle w:val="Heading1"/>
      </w:pPr>
      <w:r>
        <w:rPr>
          <w:color w:val="000000"/>
        </w:rPr>
        <w:t>2 Experimental Design</w:t>
      </w:r>
    </w:p>
    <w:p>
      <w:pPr>
        <w:pStyle w:val="Heading2"/>
      </w:pPr>
      <w:r>
        <w:t>2.1 Primary conditions</w:t>
      </w:r>
    </w:p>
    <w:p>
      <w:r>
        <w:t>Condition A allowed the agent to search, read, edit, and request tests. B added evidence extracted from Python abstract syntax trees (ASTs), covering definitions, imports, calls, references in tests, and available failure information. Retrieving graph evidence used the same tool-call budget as other actions.</w:t>
      </w:r>
    </w:p>
    <w:p>
      <w:r>
        <w:t>Condition C also checked newly introduced bare callable names before applying an edit. It rejected a new name when no declaration, import, assignment, argument, or builtin could be found for it in the document. This safeguard had a limited scope. Every condition also required syntactically valid Python.</w:t>
      </w:r>
    </w:p>
    <w:p>
      <w:pPr>
        <w:pStyle w:val="Heading2"/>
      </w:pPr>
      <w:r>
        <w:t>2.2 Model and budgets</w:t>
      </w:r>
    </w:p>
    <w:p>
      <w:r>
        <w:t>I used Gemma 4 E4B instruction QAT Q4_0 in GGUF format, served through a locally compiled CUDA llama.cpp server on Kaggle GPU 0. Two Tesla T4 GPUs were available. Historical tests ran in isolated Python 3.8 environments. All conditions shared the same task instructions, with additional guidance for their particular tools.</w:t>
      </w:r>
    </w:p>
    <w:tbl>
      <w:tblPr>
        <w:tblW w:type="auto" w:w="0"/>
        <w:jc w:val="center"/>
        <w:tblLayout w:type="fixed"/>
        <w:tblLook w:firstColumn="1" w:firstRow="1" w:lastColumn="0" w:lastRow="0" w:noHBand="0" w:noVBand="1" w:val="04A0"/>
      </w:tblPr>
      <w:tblGrid>
        <w:gridCol w:w="1872"/>
        <w:gridCol w:w="3888"/>
        <w:gridCol w:w="4032"/>
      </w:tblGrid>
      <w:tr>
        <w:trPr>
          <w:cantSplit/>
          <w:tblHeader/>
        </w:trPr>
        <w:tc>
          <w:tcPr>
            <w:tcW w:type="dxa" w:w="1872"/>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Setting</w:t>
            </w:r>
          </w:p>
        </w:tc>
        <w:tc>
          <w:tcPr>
            <w:tcW w:type="dxa" w:w="3888"/>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Primary A B C study</w:t>
            </w:r>
          </w:p>
        </w:tc>
        <w:tc>
          <w:tcPr>
            <w:tcW w:type="dxa" w:w="4032"/>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Later single-response study</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Context</w:t>
            </w:r>
          </w:p>
        </w:tc>
        <w:tc>
          <w:tcPr>
            <w:tcW w:type="dxa" w:w="388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16,384 tokens</w:t>
            </w:r>
          </w:p>
        </w:tc>
        <w:tc>
          <w:tcPr>
            <w:tcW w:type="dxa" w:w="40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8,192-token server context</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Generated output</w:t>
            </w:r>
          </w:p>
        </w:tc>
        <w:tc>
          <w:tcPr>
            <w:tcW w:type="dxa" w:w="388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8,000 tokens per condition</w:t>
            </w:r>
          </w:p>
        </w:tc>
        <w:tc>
          <w:tcPr>
            <w:tcW w:type="dxa" w:w="403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2,048 tokens per response</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Tool calls</w:t>
            </w:r>
          </w:p>
        </w:tc>
        <w:tc>
          <w:tcPr>
            <w:tcW w:type="dxa" w:w="388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At most 30</w:t>
            </w:r>
          </w:p>
        </w:tc>
        <w:tc>
          <w:tcPr>
            <w:tcW w:type="dxa" w:w="40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No model-directed tools</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Edit and test cycles</w:t>
            </w:r>
          </w:p>
        </w:tc>
        <w:tc>
          <w:tcPr>
            <w:tcW w:type="dxa" w:w="388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At most 2</w:t>
            </w:r>
          </w:p>
        </w:tc>
        <w:tc>
          <w:tcPr>
            <w:tcW w:type="dxa" w:w="403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One response and conditional patch test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Time limits</w:t>
            </w:r>
          </w:p>
        </w:tc>
        <w:tc>
          <w:tcPr>
            <w:tcW w:type="dxa" w:w="388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1,800 seconds per condition</w:t>
            </w:r>
          </w:p>
        </w:tc>
        <w:tc>
          <w:tcPr>
            <w:tcW w:type="dxa" w:w="40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180-second API and test timeouts</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Sampling</w:t>
            </w:r>
          </w:p>
        </w:tc>
        <w:tc>
          <w:tcPr>
            <w:tcW w:type="dxa" w:w="388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Temperature 0 and seed 42</w:t>
            </w:r>
          </w:p>
        </w:tc>
        <w:tc>
          <w:tcPr>
            <w:tcW w:type="dxa" w:w="403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Temperature 0 and seed 42</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Inference backend</w:t>
            </w:r>
          </w:p>
        </w:tc>
        <w:tc>
          <w:tcPr>
            <w:tcW w:type="dxa" w:w="388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Compiled CUDA llama.cpp</w:t>
            </w:r>
          </w:p>
        </w:tc>
        <w:tc>
          <w:tcPr>
            <w:tcW w:type="dxa" w:w="40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llama-cpp-python 0.3.35</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Retrieval</w:t>
            </w:r>
          </w:p>
        </w:tc>
        <w:tc>
          <w:tcPr>
            <w:tcW w:type="dxa" w:w="388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Interactive source tools and optional graph</w:t>
            </w:r>
          </w:p>
        </w:tc>
        <w:tc>
          <w:tcPr>
            <w:tcW w:type="dxa" w:w="403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Lexical selection of complete source files</w:t>
            </w:r>
          </w:p>
        </w:tc>
      </w:tr>
    </w:tbl>
    <w:p/>
    <w:p>
      <w:r>
        <w:t>The main study allowed up to 1,800 seconds per condition; actual runs were shorter. The later protocol, v01-single-response-lexical with environment correction envfix01, limited supplied context to 18,000 characters and candidate files to 100,000 bytes. These differences mean the two success rates cannot be compared directly.</w:t>
      </w:r>
    </w:p>
    <w:p>
      <w:pPr>
        <w:pStyle w:val="Heading2"/>
      </w:pPr>
      <w:r>
        <w:t>2.3 Primary defects and screening</w:t>
      </w:r>
    </w:p>
    <w:p>
      <w:r>
        <w:t>I selected six historical Python defects using BugsInPy records [2]. Before accepting a case, I checked that its regression failed on the buggy revision and passed on the fixed revision. Screening also checked whether failures came from the intended defect or from missing dependencies and fixtures.</w:t>
      </w:r>
    </w:p>
    <w:tbl>
      <w:tblPr>
        <w:tblW w:type="auto" w:w="0"/>
        <w:jc w:val="center"/>
        <w:tblLayout w:type="fixed"/>
        <w:tblLook w:firstColumn="1" w:firstRow="1" w:lastColumn="0" w:lastRow="0" w:noHBand="0" w:noVBand="1" w:val="04A0"/>
      </w:tblPr>
      <w:tblGrid>
        <w:gridCol w:w="720"/>
        <w:gridCol w:w="1584"/>
        <w:gridCol w:w="6048"/>
        <w:gridCol w:w="1440"/>
      </w:tblGrid>
      <w:tr>
        <w:trPr>
          <w:cantSplit/>
          <w:tblHeader/>
        </w:trPr>
        <w:tc>
          <w:tcPr>
            <w:tcW w:type="dxa" w:w="72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Case</w:t>
            </w:r>
          </w:p>
        </w:tc>
        <w:tc>
          <w:tcPr>
            <w:tcW w:type="dxa" w:w="1584"/>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Repository</w:t>
            </w:r>
          </w:p>
        </w:tc>
        <w:tc>
          <w:tcPr>
            <w:tcW w:type="dxa" w:w="6048"/>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Behavior under test</w:t>
            </w:r>
          </w:p>
        </w:tc>
        <w:tc>
          <w:tcPr>
            <w:tcW w:type="dxa" w:w="144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Fixed suite tests</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P3</w:t>
            </w:r>
          </w:p>
        </w:tc>
        <w:tc>
          <w:tcPr>
            <w:tcW w:type="dxa" w:w="15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tqdm</w:t>
            </w:r>
          </w:p>
        </w:tc>
        <w:tc>
          <w:tcPr>
            <w:tcW w:type="dxa" w:w="60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Progress meter rate and elapsed-time formatting</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2</w:t>
            </w:r>
          </w:p>
        </w:tc>
      </w:tr>
      <w:tr>
        <w:trPr>
          <w:cantSplit/>
        </w:trPr>
        <w:tc>
          <w:tcPr>
            <w:tcW w:type="dxa" w:w="7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P5</w:t>
            </w:r>
          </w:p>
        </w:tc>
        <w:tc>
          <w:tcPr>
            <w:tcW w:type="dxa" w:w="158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HTTPie</w:t>
            </w:r>
          </w:p>
        </w:tc>
        <w:tc>
          <w:tcPr>
            <w:tcW w:type="dxa" w:w="604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Maximum redirects and expected exit status</w:t>
            </w:r>
          </w:p>
        </w:tc>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3</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P6</w:t>
            </w:r>
          </w:p>
        </w:tc>
        <w:tc>
          <w:tcPr>
            <w:tcW w:type="dxa" w:w="15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HTTPie</w:t>
            </w:r>
          </w:p>
        </w:tc>
        <w:tc>
          <w:tcPr>
            <w:tcW w:type="dxa" w:w="60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Download using a saved session</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2</w:t>
            </w:r>
          </w:p>
        </w:tc>
      </w:tr>
      <w:tr>
        <w:trPr>
          <w:cantSplit/>
        </w:trPr>
        <w:tc>
          <w:tcPr>
            <w:tcW w:type="dxa" w:w="7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P7</w:t>
            </w:r>
          </w:p>
        </w:tc>
        <w:tc>
          <w:tcPr>
            <w:tcW w:type="dxa" w:w="158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Tornado</w:t>
            </w:r>
          </w:p>
        </w:tc>
        <w:tc>
          <w:tcPr>
            <w:tcW w:type="dxa" w:w="604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url_concat with parameters set to None</w:t>
            </w:r>
          </w:p>
        </w:tc>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12</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P8</w:t>
            </w:r>
          </w:p>
        </w:tc>
        <w:tc>
          <w:tcPr>
            <w:tcW w:type="dxa" w:w="15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youtube-dl</w:t>
            </w:r>
          </w:p>
        </w:tc>
        <w:tc>
          <w:tcPr>
            <w:tcW w:type="dxa" w:w="604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str_to_int behavior for non-string inputs</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88</w:t>
            </w:r>
          </w:p>
        </w:tc>
      </w:tr>
      <w:tr>
        <w:trPr>
          <w:cantSplit/>
        </w:trPr>
        <w:tc>
          <w:tcPr>
            <w:tcW w:type="dxa" w:w="7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P9</w:t>
            </w:r>
          </w:p>
        </w:tc>
        <w:tc>
          <w:tcPr>
            <w:tcW w:type="dxa" w:w="158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Cookiecutter</w:t>
            </w:r>
          </w:p>
        </w:tc>
        <w:tc>
          <w:tcPr>
            <w:tcW w:type="dxa" w:w="604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Suppress duplicate choices in user prompts</w:t>
            </w:r>
          </w:p>
        </w:tc>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5</w:t>
            </w:r>
          </w:p>
        </w:tc>
      </w:tr>
    </w:tbl>
    <w:p/>
    <w:p>
      <w:r>
        <w:t>The readiness suites contained 112 test instances across the six tasks. I narrowed the P3 and P6 suites before evaluation because broader fixed suites showed unrelated compatibility failures. Cookiecutter bug 1 was replaced with bug 3 before the study was frozen: bug 1 lacked non_ascii.json, while bug 3 reproduced the missing show_choices=False behavior.</w:t>
      </w:r>
    </w:p>
    <w:p>
      <w:pPr>
        <w:pStyle w:val="Heading2"/>
      </w:pPr>
      <w:r>
        <w:t>2.4 Freeze and pass criterion</w:t>
      </w:r>
    </w:p>
    <w:p>
      <w:r>
        <w:t>I froze the manifest and harness before evaluation. Readiness checks covered test identities, buggy failures and fixed passes, hashes, the environment, and server availability.</w:t>
      </w:r>
    </w:p>
    <w:p>
      <w:r>
        <w:t>A repair counted as successful only when a fresh buggy checkout, patched with the agent’s edit, passed both the hidden regression and the previously selected relevant suite. The agent could not read the fixed implementation or hidden regression. Test feedback reported status and failure type. The later trials required passing selected regressions, so their success criterion was less demanding.</w:t>
      </w:r>
    </w:p>
    <w:p>
      <w:pPr>
        <w:pStyle w:val="Heading1"/>
      </w:pPr>
      <w:r>
        <w:rPr>
          <w:color w:val="000000"/>
        </w:rPr>
        <w:t>3 Results</w:t>
      </w:r>
    </w:p>
    <w:p>
      <w:pPr>
        <w:pStyle w:val="Heading2"/>
      </w:pPr>
      <w:r>
        <w:t>3.1 Frozen held-out evaluation</w:t>
      </w:r>
    </w:p>
    <w:tbl>
      <w:tblPr>
        <w:tblW w:type="auto" w:w="0"/>
        <w:jc w:val="center"/>
        <w:tblLayout w:type="fixed"/>
        <w:tblLook w:firstColumn="1" w:firstRow="1" w:lastColumn="0" w:lastRow="0" w:noHBand="0" w:noVBand="1" w:val="04A0"/>
      </w:tblPr>
      <w:tblGrid>
        <w:gridCol w:w="1440"/>
        <w:gridCol w:w="2736"/>
        <w:gridCol w:w="2736"/>
        <w:gridCol w:w="2880"/>
      </w:tblGrid>
      <w:tr>
        <w:trPr>
          <w:cantSplit/>
          <w:tblHeader/>
        </w:trPr>
        <w:tc>
          <w:tcPr>
            <w:tcW w:type="dxa" w:w="144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Case</w:t>
            </w:r>
          </w:p>
        </w:tc>
        <w:tc>
          <w:tcPr>
            <w:tcW w:type="dxa" w:w="2736"/>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A</w:t>
            </w:r>
          </w:p>
        </w:tc>
        <w:tc>
          <w:tcPr>
            <w:tcW w:type="dxa" w:w="2736"/>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B</w:t>
            </w:r>
          </w:p>
        </w:tc>
        <w:tc>
          <w:tcPr>
            <w:tcW w:type="dxa" w:w="288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C</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P3</w:t>
            </w:r>
          </w:p>
        </w:tc>
        <w:tc>
          <w:tcPr>
            <w:tcW w:type="dxa" w:w="273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Fail</w:t>
            </w:r>
          </w:p>
        </w:tc>
        <w:tc>
          <w:tcPr>
            <w:tcW w:type="dxa" w:w="273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r>
      <w:tr>
        <w:trPr>
          <w:cantSplit/>
        </w:trPr>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P5</w:t>
            </w:r>
          </w:p>
        </w:tc>
        <w:tc>
          <w:tcPr>
            <w:tcW w:type="dxa" w:w="273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Fail</w:t>
            </w:r>
          </w:p>
        </w:tc>
        <w:tc>
          <w:tcPr>
            <w:tcW w:type="dxa" w:w="273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288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P6</w:t>
            </w:r>
          </w:p>
        </w:tc>
        <w:tc>
          <w:tcPr>
            <w:tcW w:type="dxa" w:w="273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Fail</w:t>
            </w:r>
          </w:p>
        </w:tc>
        <w:tc>
          <w:tcPr>
            <w:tcW w:type="dxa" w:w="273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r>
      <w:tr>
        <w:trPr>
          <w:cantSplit/>
        </w:trPr>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P7</w:t>
            </w:r>
          </w:p>
        </w:tc>
        <w:tc>
          <w:tcPr>
            <w:tcW w:type="dxa" w:w="273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Pass</w:t>
            </w:r>
          </w:p>
        </w:tc>
        <w:tc>
          <w:tcPr>
            <w:tcW w:type="dxa" w:w="273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288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P8</w:t>
            </w:r>
          </w:p>
        </w:tc>
        <w:tc>
          <w:tcPr>
            <w:tcW w:type="dxa" w:w="273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Fail</w:t>
            </w:r>
          </w:p>
        </w:tc>
        <w:tc>
          <w:tcPr>
            <w:tcW w:type="dxa" w:w="273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288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r>
      <w:tr>
        <w:trPr>
          <w:cantSplit/>
        </w:trPr>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P9</w:t>
            </w:r>
          </w:p>
        </w:tc>
        <w:tc>
          <w:tcPr>
            <w:tcW w:type="dxa" w:w="273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Fail</w:t>
            </w:r>
          </w:p>
        </w:tc>
        <w:tc>
          <w:tcPr>
            <w:tcW w:type="dxa" w:w="273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288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r>
    </w:tbl>
    <w:p/>
    <w:p>
      <w:r>
        <w:t>A passed one of six defects (16.7%); B and C passed none. P7 A was the only success among 18 runs. B lost the P7 success and left the other outcomes unchanged; C matched B. Graph evidence did not improve repair in this sample.</w:t>
      </w:r>
    </w:p>
    <w:tbl>
      <w:tblPr>
        <w:tblW w:type="auto" w:w="0"/>
        <w:jc w:val="center"/>
        <w:tblLayout w:type="fixed"/>
        <w:tblLook w:firstColumn="1" w:firstRow="1" w:lastColumn="0" w:lastRow="0" w:noHBand="0" w:noVBand="1" w:val="04A0"/>
      </w:tblPr>
      <w:tblGrid>
        <w:gridCol w:w="1152"/>
        <w:gridCol w:w="2160"/>
        <w:gridCol w:w="1584"/>
        <w:gridCol w:w="1872"/>
        <w:gridCol w:w="1440"/>
        <w:gridCol w:w="1584"/>
      </w:tblGrid>
      <w:tr>
        <w:trPr>
          <w:cantSplit/>
          <w:tblHeader/>
        </w:trPr>
        <w:tc>
          <w:tcPr>
            <w:tcW w:type="dxa" w:w="1152"/>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Condition</w:t>
            </w:r>
          </w:p>
        </w:tc>
        <w:tc>
          <w:tcPr>
            <w:tcW w:type="dxa" w:w="216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Generated tokens</w:t>
            </w:r>
          </w:p>
        </w:tc>
        <w:tc>
          <w:tcPr>
            <w:tcW w:type="dxa" w:w="1584"/>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Tool calls</w:t>
            </w:r>
          </w:p>
        </w:tc>
        <w:tc>
          <w:tcPr>
            <w:tcW w:type="dxa" w:w="1872"/>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Seconds</w:t>
            </w:r>
          </w:p>
        </w:tc>
        <w:tc>
          <w:tcPr>
            <w:tcW w:type="dxa" w:w="144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Edits</w:t>
            </w:r>
          </w:p>
        </w:tc>
        <w:tc>
          <w:tcPr>
            <w:tcW w:type="dxa" w:w="1584"/>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Agent tests</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A</w:t>
            </w:r>
          </w:p>
        </w:tc>
        <w:tc>
          <w:tcPr>
            <w:tcW w:type="dxa" w:w="216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24,502</w:t>
            </w:r>
          </w:p>
        </w:tc>
        <w:tc>
          <w:tcPr>
            <w:tcW w:type="dxa" w:w="15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84</w:t>
            </w:r>
          </w:p>
        </w:tc>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523.24</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w:t>
            </w:r>
          </w:p>
        </w:tc>
        <w:tc>
          <w:tcPr>
            <w:tcW w:type="dxa" w:w="15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w:t>
            </w:r>
          </w:p>
        </w:tc>
      </w:tr>
      <w:tr>
        <w:trPr>
          <w:cantSplit/>
        </w:trPr>
        <w:tc>
          <w:tcPr>
            <w:tcW w:type="dxa" w:w="115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B</w:t>
            </w:r>
          </w:p>
        </w:tc>
        <w:tc>
          <w:tcPr>
            <w:tcW w:type="dxa" w:w="216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24,724</w:t>
            </w:r>
          </w:p>
        </w:tc>
        <w:tc>
          <w:tcPr>
            <w:tcW w:type="dxa" w:w="158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74</w:t>
            </w:r>
          </w:p>
        </w:tc>
        <w:tc>
          <w:tcPr>
            <w:tcW w:type="dxa" w:w="187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561.47</w:t>
            </w:r>
          </w:p>
        </w:tc>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w:t>
            </w:r>
          </w:p>
        </w:tc>
        <w:tc>
          <w:tcPr>
            <w:tcW w:type="dxa" w:w="158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w:t>
            </w:r>
          </w:p>
        </w:tc>
      </w:tr>
      <w:tr>
        <w:trPr>
          <w:cantSplit/>
        </w:trPr>
        <w:tc>
          <w:tcPr>
            <w:tcW w:type="dxa" w:w="115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w:t>
            </w:r>
          </w:p>
        </w:tc>
        <w:tc>
          <w:tcPr>
            <w:tcW w:type="dxa" w:w="216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21,016</w:t>
            </w:r>
          </w:p>
        </w:tc>
        <w:tc>
          <w:tcPr>
            <w:tcW w:type="dxa" w:w="15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92</w:t>
            </w:r>
          </w:p>
        </w:tc>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477.56</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0</w:t>
            </w:r>
          </w:p>
        </w:tc>
        <w:tc>
          <w:tcPr>
            <w:tcW w:type="dxa" w:w="158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0</w:t>
            </w:r>
          </w:p>
        </w:tc>
      </w:tr>
    </w:tbl>
    <w:p/>
    <w:p>
      <w:r>
        <w:t>The main runs used 70,242 generated tokens and 250 tool calls, with two applied edits and two agent test requests. Screening and final verification were counted separately. These totals come from the original paper and project summaries. The handoff retains the protocol, manifest, and harness, but does not contain all 18 raw result directories.</w:t>
      </w:r>
    </w:p>
    <w:p>
      <w:pPr>
        <w:pStyle w:val="Heading2"/>
      </w:pPr>
      <w:r>
        <w:t>3.2 Primary failure analysis</w:t>
      </w:r>
    </w:p>
    <w:p>
      <w:r>
        <w:t>For P3, A used all 30 tool calls without editing. B proposed an edit that failed the exact-text matching rule, while C stopped after an empty response. P5 and P6 produced no applied edits; several runs ended with empty replies or reached generation limits.</w:t>
      </w:r>
    </w:p>
    <w:p>
      <w:r>
        <w:t>P8 A generated 8,000 tokens and made two tool calls, but returned invalid JSON. P8 B and C stopped before editing. P9 B applied an edit and requested a test, yet verification failed. P7 A passed both checks after four tool calls, one edit, and one test request. The failures therefore included both unusable actions and an applied patch that did not repair the defect.</w:t>
      </w:r>
    </w:p>
    <w:p>
      <w:pPr>
        <w:pStyle w:val="Heading1"/>
      </w:pPr>
      <w:r>
        <w:rPr>
          <w:color w:val="000000"/>
        </w:rPr>
        <w:t>4 Pilot Experiments</w:t>
      </w:r>
    </w:p>
    <w:p>
      <w:r>
        <w:t>P1 and P4 exercised the interactive agent; P2 refined a single-proposal interface. The handoff records these exploratory results, although complete traces are unavailable for independent audit.</w:t>
      </w:r>
    </w:p>
    <w:tbl>
      <w:tblPr>
        <w:tblW w:type="auto" w:w="0"/>
        <w:jc w:val="center"/>
        <w:tblLayout w:type="fixed"/>
        <w:tblLook w:firstColumn="1" w:firstRow="1" w:lastColumn="0" w:lastRow="0" w:noHBand="0" w:noVBand="1" w:val="04A0"/>
      </w:tblPr>
      <w:tblGrid>
        <w:gridCol w:w="1656"/>
        <w:gridCol w:w="3816"/>
        <w:gridCol w:w="1440"/>
        <w:gridCol w:w="1440"/>
        <w:gridCol w:w="1440"/>
      </w:tblGrid>
      <w:tr>
        <w:trPr>
          <w:cantSplit/>
          <w:tblHeader/>
        </w:trPr>
        <w:tc>
          <w:tcPr>
            <w:tcW w:type="dxa" w:w="1656"/>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Pilot</w:t>
            </w:r>
          </w:p>
        </w:tc>
        <w:tc>
          <w:tcPr>
            <w:tcW w:type="dxa" w:w="3816"/>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Use case</w:t>
            </w:r>
          </w:p>
        </w:tc>
        <w:tc>
          <w:tcPr>
            <w:tcW w:type="dxa" w:w="144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A</w:t>
            </w:r>
          </w:p>
        </w:tc>
        <w:tc>
          <w:tcPr>
            <w:tcW w:type="dxa" w:w="144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B</w:t>
            </w:r>
          </w:p>
        </w:tc>
        <w:tc>
          <w:tcPr>
            <w:tcW w:type="dxa" w:w="144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C</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P1 PySnooper</w:t>
            </w:r>
          </w:p>
        </w:tc>
        <w:tc>
          <w:tcPr>
            <w:tcW w:type="dxa" w:w="38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Write trace output to a file</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Pass</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Pass</w:t>
            </w:r>
          </w:p>
        </w:tc>
      </w:tr>
      <w:tr>
        <w:trPr>
          <w:cantSplit/>
        </w:trPr>
        <w:tc>
          <w:tcPr>
            <w:tcW w:type="dxa" w:w="165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P2 tqdm</w:t>
            </w:r>
          </w:p>
        </w:tc>
        <w:tc>
          <w:tcPr>
            <w:tcW w:type="dxa" w:w="381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tenumerate with a start value in v3 calibration</w:t>
            </w:r>
          </w:p>
        </w:tc>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Pass</w:t>
            </w:r>
          </w:p>
        </w:tc>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Pass</w:t>
            </w:r>
          </w:p>
        </w:tc>
        <w:tc>
          <w:tcPr>
            <w:tcW w:type="dxa" w:w="144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Pass</w:t>
            </w:r>
          </w:p>
        </w:tc>
      </w:tr>
      <w:tr>
        <w:trPr>
          <w:cantSplit/>
        </w:trPr>
        <w:tc>
          <w:tcPr>
            <w:tcW w:type="dxa" w:w="165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P4 HTTPie</w:t>
            </w:r>
          </w:p>
        </w:tc>
        <w:tc>
          <w:tcPr>
            <w:tcW w:type="dxa" w:w="38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Choose a unique long download filename</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c>
          <w:tcPr>
            <w:tcW w:type="dxa" w:w="144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Fail</w:t>
            </w:r>
          </w:p>
        </w:tc>
      </w:tr>
    </w:tbl>
    <w:p/>
    <w:p>
      <w:r>
        <w:t>In P1, A used 12 tool calls and 8,000 tokens; B used 12 calls and 2,626 tokens; C used 10 calls and 2,015 tokens. The apparent benefit from graph evidence in this pilot did not carry over to the held-out study.</w:t>
      </w:r>
    </w:p>
    <w:p>
      <w:r>
        <w:t>P2 required three calibration versions. Version 1 produced patches that would not apply or were corrupt; version 2 returned incomplete files. The handoff reports passes for A, B, and C in version 3. Because the interface had been tuned on this task, I excluded these passes from the main results. Repeated setup records do not add new defects.</w:t>
      </w:r>
    </w:p>
    <w:p>
      <w:r>
        <w:t>In P4, A used 28 calls and 8,000 tokens, applied one edit, and requested one test, but verification failed. B used 23 calls and C used 12; both generated 8,000 tokens without editing. Later logging corrections improved recognition of empty replies and pytest errors while preserving the original outcomes. Exception names found in source lines should not be read as confirmed runtime exceptions.</w:t>
      </w:r>
    </w:p>
    <w:p>
      <w:pPr>
        <w:pStyle w:val="Heading1"/>
      </w:pPr>
      <w:r>
        <w:rPr>
          <w:color w:val="000000"/>
        </w:rPr>
        <w:t>5 Later Public Issue Repair Trials</w:t>
      </w:r>
    </w:p>
    <w:p>
      <w:pPr>
        <w:pStyle w:val="Heading2"/>
      </w:pPr>
      <w:r>
        <w:t>5.1 Protocol and candidate coverage</w:t>
      </w:r>
    </w:p>
    <w:p>
      <w:r>
        <w:t>Six public GitHub issues were screened using matching regressions at recorded buggy and fixed revisions. All accepted cases showed intended buggy failures and fixed passes, without collection errors or skips. Archives retain screening, context, exchanges, baselines, environment details, and outcomes.</w:t>
      </w:r>
    </w:p>
    <w:p>
      <w:r>
        <w:t>The model received an issue summary and production files chosen through lexical matching. It could not request more files or use tools. It returned one JSON decision to edit or abstain. Each edit had to match a unique old substring exactly and change its content. Tests and configuration were protected, and selected regressions ran only after a valid edit.</w:t>
      </w:r>
    </w:p>
    <w:tbl>
      <w:tblPr>
        <w:tblW w:type="auto" w:w="0"/>
        <w:jc w:val="center"/>
        <w:tblLayout w:type="fixed"/>
        <w:tblLook w:firstColumn="1" w:firstRow="1" w:lastColumn="0" w:lastRow="0" w:noHBand="0" w:noVBand="1" w:val="04A0"/>
      </w:tblPr>
      <w:tblGrid>
        <w:gridCol w:w="720"/>
        <w:gridCol w:w="3816"/>
        <w:gridCol w:w="1368"/>
        <w:gridCol w:w="1368"/>
        <w:gridCol w:w="2520"/>
      </w:tblGrid>
      <w:tr>
        <w:trPr>
          <w:cantSplit/>
          <w:tblHeader/>
        </w:trPr>
        <w:tc>
          <w:tcPr>
            <w:tcW w:type="dxa" w:w="72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Case</w:t>
            </w:r>
          </w:p>
        </w:tc>
        <w:tc>
          <w:tcPr>
            <w:tcW w:type="dxa" w:w="3816"/>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Repository and issue</w:t>
            </w:r>
          </w:p>
        </w:tc>
        <w:tc>
          <w:tcPr>
            <w:tcW w:type="dxa" w:w="1368"/>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Regression tests</w:t>
            </w:r>
          </w:p>
        </w:tc>
        <w:tc>
          <w:tcPr>
            <w:tcW w:type="dxa" w:w="1368"/>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Buggy failures</w:t>
            </w:r>
          </w:p>
        </w:tc>
        <w:tc>
          <w:tcPr>
            <w:tcW w:type="dxa" w:w="252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Outcome</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C06</w:t>
            </w:r>
          </w:p>
        </w:tc>
        <w:tc>
          <w:tcPr>
            <w:tcW w:type="dxa" w:w="38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dynavec 243</w:t>
            </w:r>
          </w:p>
        </w:tc>
        <w:tc>
          <w:tcPr>
            <w:tcW w:type="dxa" w:w="136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12</w:t>
            </w:r>
          </w:p>
        </w:tc>
        <w:tc>
          <w:tcPr>
            <w:tcW w:type="dxa" w:w="136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8</w:t>
            </w:r>
          </w:p>
        </w:tc>
        <w:tc>
          <w:tcPr>
            <w:tcW w:type="dxa" w:w="25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Invalid output</w:t>
            </w:r>
          </w:p>
        </w:tc>
      </w:tr>
      <w:tr>
        <w:trPr>
          <w:cantSplit/>
        </w:trPr>
        <w:tc>
          <w:tcPr>
            <w:tcW w:type="dxa" w:w="7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C07</w:t>
            </w:r>
          </w:p>
        </w:tc>
        <w:tc>
          <w:tcPr>
            <w:tcW w:type="dxa" w:w="381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dynavec 246</w:t>
            </w:r>
          </w:p>
        </w:tc>
        <w:tc>
          <w:tcPr>
            <w:tcW w:type="dxa" w:w="136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4</w:t>
            </w:r>
          </w:p>
        </w:tc>
        <w:tc>
          <w:tcPr>
            <w:tcW w:type="dxa" w:w="136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4</w:t>
            </w:r>
          </w:p>
        </w:tc>
        <w:tc>
          <w:tcPr>
            <w:tcW w:type="dxa" w:w="25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Abstained</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C08</w:t>
            </w:r>
          </w:p>
        </w:tc>
        <w:tc>
          <w:tcPr>
            <w:tcW w:type="dxa" w:w="38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cyberwave-python 30</w:t>
            </w:r>
          </w:p>
        </w:tc>
        <w:tc>
          <w:tcPr>
            <w:tcW w:type="dxa" w:w="136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27</w:t>
            </w:r>
          </w:p>
        </w:tc>
        <w:tc>
          <w:tcPr>
            <w:tcW w:type="dxa" w:w="136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2</w:t>
            </w:r>
          </w:p>
        </w:tc>
        <w:tc>
          <w:tcPr>
            <w:tcW w:type="dxa" w:w="25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Selected tests passed</w:t>
            </w:r>
          </w:p>
        </w:tc>
      </w:tr>
      <w:tr>
        <w:trPr>
          <w:cantSplit/>
        </w:trPr>
        <w:tc>
          <w:tcPr>
            <w:tcW w:type="dxa" w:w="7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C10</w:t>
            </w:r>
          </w:p>
        </w:tc>
        <w:tc>
          <w:tcPr>
            <w:tcW w:type="dxa" w:w="381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sqlalchemy-cubrid 440</w:t>
            </w:r>
          </w:p>
        </w:tc>
        <w:tc>
          <w:tcPr>
            <w:tcW w:type="dxa" w:w="136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7</w:t>
            </w:r>
          </w:p>
        </w:tc>
        <w:tc>
          <w:tcPr>
            <w:tcW w:type="dxa" w:w="136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7</w:t>
            </w:r>
          </w:p>
        </w:tc>
        <w:tc>
          <w:tcPr>
            <w:tcW w:type="dxa" w:w="25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Invalid output</w:t>
            </w:r>
          </w:p>
        </w:tc>
      </w:tr>
      <w:tr>
        <w:trPr>
          <w:cantSplit/>
        </w:trPr>
        <w:tc>
          <w:tcPr>
            <w:tcW w:type="dxa" w:w="7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C11</w:t>
            </w:r>
          </w:p>
        </w:tc>
        <w:tc>
          <w:tcPr>
            <w:tcW w:type="dxa" w:w="38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cubrid-mcp-server 175</w:t>
            </w:r>
          </w:p>
        </w:tc>
        <w:tc>
          <w:tcPr>
            <w:tcW w:type="dxa" w:w="136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4</w:t>
            </w:r>
          </w:p>
        </w:tc>
        <w:tc>
          <w:tcPr>
            <w:tcW w:type="dxa" w:w="1368"/>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2</w:t>
            </w:r>
          </w:p>
        </w:tc>
        <w:tc>
          <w:tcPr>
            <w:tcW w:type="dxa" w:w="252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Invalid output</w:t>
            </w:r>
          </w:p>
        </w:tc>
      </w:tr>
      <w:tr>
        <w:trPr>
          <w:cantSplit/>
        </w:trPr>
        <w:tc>
          <w:tcPr>
            <w:tcW w:type="dxa" w:w="7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C12</w:t>
            </w:r>
          </w:p>
        </w:tc>
        <w:tc>
          <w:tcPr>
            <w:tcW w:type="dxa" w:w="381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azure-functions-validation-python 399</w:t>
            </w:r>
          </w:p>
        </w:tc>
        <w:tc>
          <w:tcPr>
            <w:tcW w:type="dxa" w:w="136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3</w:t>
            </w:r>
          </w:p>
        </w:tc>
        <w:tc>
          <w:tcPr>
            <w:tcW w:type="dxa" w:w="1368"/>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2</w:t>
            </w:r>
          </w:p>
        </w:tc>
        <w:tc>
          <w:tcPr>
            <w:tcW w:type="dxa" w:w="252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Invalid output</w:t>
            </w:r>
          </w:p>
        </w:tc>
      </w:tr>
    </w:tbl>
    <w:p/>
    <w:p>
      <w:r>
        <w:t>These suites contained 57 test instances. Only C08 reached testing after a patch, and all 27 of its tests passed. The six trials therefore yielded one passing repair (16.7%), one abstention, and four invalid outputs. I keep this result separate from the primary rate because the protocols and verification requirements differed.</w:t>
      </w:r>
    </w:p>
    <w:p>
      <w:pPr>
        <w:pStyle w:val="Heading2"/>
      </w:pPr>
      <w:r>
        <w:t>5.2 Use cases and individual outcomes</w:t>
      </w:r>
    </w:p>
    <w:p>
      <w:r>
        <w:t>C06 (dynavec #243) checked whether max_workers accepts only positive integers. Eight of 12 tests failed on the buggy revision. The model’s response included an unchanged old/new edit, so the evaluator rejected it before applying a patch. The edit format failed; there was no tested patch from which to judge repair correctness.</w:t>
      </w:r>
    </w:p>
    <w:p>
      <w:r>
        <w:t>C07 (dynavec #246) checked conversion of YAML dates and timestamps to ISO strings, including nested values and DynamoDB serialization. All four tests failed on the buggy revision. The supplied files included graph.py and initializers but omitted the parser. The model declined to edit because the relevant code was missing. This explains the abstention, though one case cannot establish how reliably the model abstains.</w:t>
      </w:r>
    </w:p>
    <w:p>
      <w:r>
        <w:t>C08 (cyberwave-python #30) checked rejection of empty outbound channels in Zenoh-to-MQTT mapping. The supplied topic_mapping.py contained the relevant code. The model added a check after channel = parts[3], returning None for an empty channel. The buggy baseline had two failures; after the edit, all 27 selected tests passed. This result establishes correctness within that suite, without a separate hidden or full-repository check.</w:t>
      </w:r>
    </w:p>
    <w:p>
      <w:r>
        <w:t>C10 (sqlalchemy-cubrid #440) checked whether VARCHAR(0) and NVARCHAR(0) were incorrectly treated as default lengths. All seven tests failed on buggy code. The supplied files included alembic_impl.py and samples. The model discussed default values but returned malformed JSON, so no patch was tested.</w:t>
      </w:r>
    </w:p>
    <w:p>
      <w:r>
        <w:t>C11 (cubrid-mcp-server #175) checked rejection of NaN and infinite query timeouts; two of four tests failed. The supplied database.py omitted the relevant configuration code, and the response was malformed JSON. C12 (azure-functions-validation-python #399) checked preservation of Content-Type under different header casing; two of three tests failed. Its context covered adapter code, and the proposed edit failed exact-text requirements. Neither case reached patched testing.</w:t>
      </w:r>
    </w:p>
    <w:tbl>
      <w:tblPr>
        <w:tblW w:type="auto" w:w="0"/>
        <w:jc w:val="center"/>
        <w:tblLayout w:type="fixed"/>
        <w:tblLook w:firstColumn="1" w:firstRow="1" w:lastColumn="0" w:lastRow="0" w:noHBand="0" w:noVBand="1" w:val="04A0"/>
      </w:tblPr>
      <w:tblGrid>
        <w:gridCol w:w="864"/>
        <w:gridCol w:w="2232"/>
        <w:gridCol w:w="2160"/>
        <w:gridCol w:w="2376"/>
        <w:gridCol w:w="2160"/>
      </w:tblGrid>
      <w:tr>
        <w:trPr>
          <w:cantSplit/>
          <w:tblHeader/>
        </w:trPr>
        <w:tc>
          <w:tcPr>
            <w:tcW w:type="dxa" w:w="864"/>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Case</w:t>
            </w:r>
          </w:p>
        </w:tc>
        <w:tc>
          <w:tcPr>
            <w:tcW w:type="dxa" w:w="2232"/>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Prompt tokens</w:t>
            </w:r>
          </w:p>
        </w:tc>
        <w:tc>
          <w:tcPr>
            <w:tcW w:type="dxa" w:w="216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Output tokens</w:t>
            </w:r>
          </w:p>
        </w:tc>
        <w:tc>
          <w:tcPr>
            <w:tcW w:type="dxa" w:w="2376"/>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Model seconds</w:t>
            </w:r>
          </w:p>
        </w:tc>
        <w:tc>
          <w:tcPr>
            <w:tcW w:type="dxa" w:w="2160"/>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Patched tests</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C06</w:t>
            </w:r>
          </w:p>
        </w:tc>
        <w:tc>
          <w:tcPr>
            <w:tcW w:type="dxa" w:w="22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5,755</w:t>
            </w:r>
          </w:p>
        </w:tc>
        <w:tc>
          <w:tcPr>
            <w:tcW w:type="dxa" w:w="216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457</w:t>
            </w:r>
          </w:p>
        </w:tc>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25.146</w:t>
            </w:r>
          </w:p>
        </w:tc>
        <w:tc>
          <w:tcPr>
            <w:tcW w:type="dxa" w:w="216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0</w:t>
            </w:r>
          </w:p>
        </w:tc>
      </w:tr>
      <w:tr>
        <w:trPr>
          <w:cantSplit/>
        </w:trPr>
        <w:tc>
          <w:tcPr>
            <w:tcW w:type="dxa" w:w="86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C07</w:t>
            </w:r>
          </w:p>
        </w:tc>
        <w:tc>
          <w:tcPr>
            <w:tcW w:type="dxa" w:w="223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5,537</w:t>
            </w:r>
          </w:p>
        </w:tc>
        <w:tc>
          <w:tcPr>
            <w:tcW w:type="dxa" w:w="216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55</w:t>
            </w:r>
          </w:p>
        </w:tc>
        <w:tc>
          <w:tcPr>
            <w:tcW w:type="dxa" w:w="237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8.189</w:t>
            </w:r>
          </w:p>
        </w:tc>
        <w:tc>
          <w:tcPr>
            <w:tcW w:type="dxa" w:w="216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C08</w:t>
            </w:r>
          </w:p>
        </w:tc>
        <w:tc>
          <w:tcPr>
            <w:tcW w:type="dxa" w:w="22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5,863</w:t>
            </w:r>
          </w:p>
        </w:tc>
        <w:tc>
          <w:tcPr>
            <w:tcW w:type="dxa" w:w="216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135</w:t>
            </w:r>
          </w:p>
        </w:tc>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11.239</w:t>
            </w:r>
          </w:p>
        </w:tc>
        <w:tc>
          <w:tcPr>
            <w:tcW w:type="dxa" w:w="216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27</w:t>
            </w:r>
          </w:p>
        </w:tc>
      </w:tr>
      <w:tr>
        <w:trPr>
          <w:cantSplit/>
        </w:trPr>
        <w:tc>
          <w:tcPr>
            <w:tcW w:type="dxa" w:w="86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C10</w:t>
            </w:r>
          </w:p>
        </w:tc>
        <w:tc>
          <w:tcPr>
            <w:tcW w:type="dxa" w:w="223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5,128</w:t>
            </w:r>
          </w:p>
        </w:tc>
        <w:tc>
          <w:tcPr>
            <w:tcW w:type="dxa" w:w="216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441</w:t>
            </w:r>
          </w:p>
        </w:tc>
        <w:tc>
          <w:tcPr>
            <w:tcW w:type="dxa" w:w="237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18.930</w:t>
            </w:r>
          </w:p>
        </w:tc>
        <w:tc>
          <w:tcPr>
            <w:tcW w:type="dxa" w:w="216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0</w:t>
            </w:r>
          </w:p>
        </w:tc>
      </w:tr>
      <w:tr>
        <w:trPr>
          <w:cantSplit/>
        </w:trPr>
        <w:tc>
          <w:tcPr>
            <w:tcW w:type="dxa" w:w="86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C11</w:t>
            </w:r>
          </w:p>
        </w:tc>
        <w:tc>
          <w:tcPr>
            <w:tcW w:type="dxa" w:w="223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4,838</w:t>
            </w:r>
          </w:p>
        </w:tc>
        <w:tc>
          <w:tcPr>
            <w:tcW w:type="dxa" w:w="216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1,194</w:t>
            </w:r>
          </w:p>
        </w:tc>
        <w:tc>
          <w:tcPr>
            <w:tcW w:type="dxa" w:w="237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42.530</w:t>
            </w:r>
          </w:p>
        </w:tc>
        <w:tc>
          <w:tcPr>
            <w:tcW w:type="dxa" w:w="2160"/>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0</w:t>
            </w:r>
          </w:p>
        </w:tc>
      </w:tr>
      <w:tr>
        <w:trPr>
          <w:cantSplit/>
        </w:trPr>
        <w:tc>
          <w:tcPr>
            <w:tcW w:type="dxa" w:w="86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C12</w:t>
            </w:r>
          </w:p>
        </w:tc>
        <w:tc>
          <w:tcPr>
            <w:tcW w:type="dxa" w:w="223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4,872</w:t>
            </w:r>
          </w:p>
        </w:tc>
        <w:tc>
          <w:tcPr>
            <w:tcW w:type="dxa" w:w="216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839</w:t>
            </w:r>
          </w:p>
        </w:tc>
        <w:tc>
          <w:tcPr>
            <w:tcW w:type="dxa" w:w="237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31.329</w:t>
            </w:r>
          </w:p>
        </w:tc>
        <w:tc>
          <w:tcPr>
            <w:tcW w:type="dxa" w:w="2160"/>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0</w:t>
            </w:r>
          </w:p>
        </w:tc>
      </w:tr>
    </w:tbl>
    <w:p/>
    <w:p>
      <w:r>
        <w:t>The later trials used 31,993 prompt tokens and 3,121 completion tokens, totaling 35,114. Model time totaled 137.363 seconds, excluding setup and tests. Every response ended with finish_reason=stop, so the invalid outputs should not be attributed to exhausted output budgets.</w:t>
      </w:r>
    </w:p>
    <w:p>
      <w:pPr>
        <w:pStyle w:val="Heading1"/>
      </w:pPr>
      <w:r>
        <w:rPr>
          <w:color w:val="000000"/>
        </w:rPr>
        <w:t>6 Black Runner Compatibility Case</w:t>
      </w:r>
    </w:p>
    <w:p>
      <w:r>
        <w:t>V03C used a historical psf/black defect and tests.test_black.BlackTestCase.test_fmtonoff4. During screening, the required fmtonoff4.py fixture was copied unchanged from the fixed revision into the buggy checkout. Public and separate private checks recorded buggy failures and fixed passes. The private verifier was withheld from the agent.</w:t>
      </w:r>
    </w:p>
    <w:p>
      <w:r>
        <w:t>The revised, frozen runner used replace_lines for edits. In all three conditions, the model’s first response was {"tool_name":"search","params":{"query":"test_fmtonoff4"}}. The parser expected the key tool and rejected the response. Each attempt generated 22 tokens and performed no tool calls, edits, or agent tests. Durations were 0.805, 0.578, and 0.544 seconds.</w:t>
      </w:r>
    </w:p>
    <w:p>
      <w:r>
        <w:t>The archive labels V03C COMPLETED_NON_ACTIONABLE. It represents one defect with three stopped attempts, all caused by incompatible action formats. These attempts were excluded from repair-performance comparisons and retained without rerunning them.</w:t>
      </w:r>
    </w:p>
    <w:p>
      <w:pPr>
        <w:pStyle w:val="Heading1"/>
      </w:pPr>
      <w:r>
        <w:rPr>
          <w:color w:val="000000"/>
        </w:rPr>
        <w:t>7 Screening Exclusions and Infrastructure Tests</w:t>
      </w:r>
    </w:p>
    <w:p>
      <w:r>
        <w:t>Screening and infrastructure checks are documented separately from agent repair outcomes.</w:t>
      </w:r>
    </w:p>
    <w:tbl>
      <w:tblPr>
        <w:tblW w:type="auto" w:w="0"/>
        <w:jc w:val="center"/>
        <w:tblLayout w:type="fixed"/>
        <w:tblLook w:firstColumn="1" w:firstRow="1" w:lastColumn="0" w:lastRow="0" w:noHBand="0" w:noVBand="1" w:val="04A0"/>
      </w:tblPr>
      <w:tblGrid>
        <w:gridCol w:w="1872"/>
        <w:gridCol w:w="5616"/>
        <w:gridCol w:w="2304"/>
      </w:tblGrid>
      <w:tr>
        <w:trPr>
          <w:cantSplit/>
          <w:tblHeader/>
        </w:trPr>
        <w:tc>
          <w:tcPr>
            <w:tcW w:type="dxa" w:w="1872"/>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color w:val="000000"/>
                <w:sz w:val="19"/>
              </w:rPr>
              <w:t>Record</w:t>
            </w:r>
          </w:p>
        </w:tc>
        <w:tc>
          <w:tcPr>
            <w:tcW w:type="dxa" w:w="5616"/>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Observed result</w:t>
            </w:r>
          </w:p>
        </w:tc>
        <w:tc>
          <w:tcPr>
            <w:tcW w:type="dxa" w:w="2304"/>
            <w:vAlign w:val="center"/>
            <w:shd w:fill="E7EDF3"/>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color w:val="000000"/>
                <w:sz w:val="19"/>
              </w:rPr>
              <w:t>Treatment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Original P9 Cookiecutter bug 1</w:t>
            </w:r>
          </w:p>
        </w:tc>
        <w:tc>
          <w:tcPr>
            <w:tcW w:type="dxa" w:w="56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Missing pytest-cov first; then a missing non_ascii.json fixture</w:t>
            </w:r>
          </w:p>
        </w:tc>
        <w:tc>
          <w:tcPr>
            <w:tcW w:type="dxa" w:w="230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Excluded before primary freeze</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P9 bug 3 first screen</w:t>
            </w:r>
          </w:p>
        </w:tc>
        <w:tc>
          <w:tcPr>
            <w:tcW w:type="dxa" w:w="561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Both revisions lacked the past import</w:t>
            </w:r>
          </w:p>
        </w:tc>
        <w:tc>
          <w:tcPr>
            <w:tcW w:type="dxa" w:w="230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Dependencies corrected before accepted screening</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C01 local Windows screen</w:t>
            </w:r>
          </w:p>
        </w:tc>
        <w:tc>
          <w:tcPr>
            <w:tcW w:type="dxa" w:w="56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Both exits 4; selected test file unavailable</w:t>
            </w:r>
          </w:p>
        </w:tc>
        <w:tc>
          <w:tcPr>
            <w:tcW w:type="dxa" w:w="230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Excluded as nonreproducible selector</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C09 django-modern-rest</w:t>
            </w:r>
          </w:p>
        </w:tc>
        <w:tc>
          <w:tcPr>
            <w:tcW w:type="dxa" w:w="561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Initial screen could not import pytest; later fixed test passed but buggy run had assertion and teardown errors plus checkout failure</w:t>
            </w:r>
          </w:p>
        </w:tc>
        <w:tc>
          <w:tcPr>
            <w:tcW w:type="dxa" w:w="230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Environment-blocked and excluded from repair cohort</w:t>
            </w:r>
          </w:p>
        </w:tc>
      </w:tr>
      <w:tr>
        <w:trPr>
          <w:cantSplit/>
        </w:trPr>
        <w:tc>
          <w:tcPr>
            <w:tcW w:type="dxa" w:w="1872"/>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C13 django-modern-rest</w:t>
            </w:r>
          </w:p>
        </w:tc>
        <w:tc>
          <w:tcPr>
            <w:tcW w:type="dxa" w:w="5616"/>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Both screen invocations exited 1; pytest unavailable and no buggy XML</w:t>
            </w:r>
          </w:p>
        </w:tc>
        <w:tc>
          <w:tcPr>
            <w:tcW w:type="dxa" w:w="2304"/>
            <w:vAlign w:val="center"/>
            <w:shd w:fill="FFFFFF"/>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Excluded pending valid screening</w:t>
            </w:r>
          </w:p>
        </w:tc>
      </w:tr>
      <w:tr>
        <w:trPr>
          <w:cantSplit/>
        </w:trPr>
        <w:tc>
          <w:tcPr>
            <w:tcW w:type="dxa" w:w="1872"/>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jc w:val="center"/>
            </w:pPr>
            <w:r>
              <w:rPr>
                <w:b w:val="0"/>
                <w:color w:val="000000"/>
                <w:sz w:val="19"/>
              </w:rPr>
              <w:t>C12 initial screen</w:t>
            </w:r>
          </w:p>
        </w:tc>
        <w:tc>
          <w:tcPr>
            <w:tcW w:type="dxa" w:w="5616"/>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Selected fixed tests passed but global coverage threshold blocked the run</w:t>
            </w:r>
          </w:p>
        </w:tc>
        <w:tc>
          <w:tcPr>
            <w:tcW w:type="dxa" w:w="2304"/>
            <w:vAlign w:val="center"/>
            <w:shd w:fill="F7F8FA"/>
            <w:tcBorders>
              <w:top w:val="single" w:sz="4" w:color="D9D9D9"/>
              <w:left w:val="single" w:sz="4" w:color="D9D9D9"/>
              <w:bottom w:val="single" w:sz="4" w:color="D9D9D9"/>
              <w:right w:val="single" w:sz="4" w:color="D9D9D9"/>
            </w:tcBorders>
            <w:tcMar>
              <w:top w:w="95" w:type="dxa"/>
              <w:bottom w:w="95" w:type="dxa"/>
              <w:left w:w="95" w:type="dxa"/>
              <w:right w:w="95" w:type="dxa"/>
            </w:tcMar>
          </w:tcPr>
          <w:p>
            <w:pPr>
              <w:spacing w:after="40" w:before="40" w:line="245" w:lineRule="auto"/>
            </w:pPr>
            <w:r>
              <w:rPr>
                <w:b w:val="0"/>
                <w:color w:val="000000"/>
                <w:sz w:val="19"/>
              </w:rPr>
              <w:t>Retained correction using -o addopts=</w:t>
            </w:r>
          </w:p>
        </w:tc>
      </w:tr>
    </w:tbl>
    <w:p/>
    <w:p>
      <w:r>
        <w:t>C09 concerned OpenAPI date examples that depended on the clock; C13 concerned duplicate OpenAPI security schemes. After dependency correction, the C09 fixed test passed, but the buggy run had assertion and teardown errors. Restoring the checkout also failed because of local test-file changes. Its status remained environment_blocked, so it was not accepted for repair evaluation.</w:t>
      </w:r>
    </w:p>
    <w:p>
      <w:r>
        <w:t>Infrastructure checks covered model hashes, server startup, API access, a READY response, GPU offload, isolated environments, and dependencies. Saved notebooks also record unsuccessful prebuilt-server and startup attempts. These checks established readiness. The later llama-cpp-python backend differed from the compiled server used in the main study.</w:t>
      </w:r>
    </w:p>
    <w:p>
      <w:pPr>
        <w:pStyle w:val="Heading1"/>
      </w:pPr>
      <w:r>
        <w:rPr>
          <w:color w:val="000000"/>
        </w:rPr>
        <w:t>8 Discussion</w:t>
      </w:r>
    </w:p>
    <w:p>
      <w:r>
        <w:t>Graph evidence did not increase verified repairs in the main study. The apparent P1 benefit did not recur in six held-out defects. This small sample cannot establish its general value.</w:t>
      </w:r>
    </w:p>
    <w:p>
      <w:r>
        <w:t>C08 included the relevant implementation and passed; C07 omitted its parser and abstained. C11 and C12 supplied related files without the tested implementation. Comparing retrieval methods under controlled conditions would help measure this effect.</w:t>
      </w:r>
    </w:p>
    <w:p>
      <w:r>
        <w:t>Four later trials violated JSON or edit requirements; V03C failed its first action. Further work should validate the interface, then test constrained JSON and deterministic edit application. Their benefits remain unmeasured.</w:t>
      </w:r>
    </w:p>
    <w:p>
      <w:r>
        <w:t>A rejected edit, an abstention, an environment failure, and a tested incorrect patch need different remedies. Reporting them separately helps identify what should be improved.</w:t>
      </w:r>
    </w:p>
    <w:p>
      <w:pPr>
        <w:pStyle w:val="Heading1"/>
      </w:pPr>
      <w:r>
        <w:rPr>
          <w:color w:val="000000"/>
        </w:rPr>
        <w:t>9 Limitations</w:t>
      </w:r>
    </w:p>
    <w:p>
      <w:r>
        <w:t>The main study used six held-out defects and one run per condition. A single success changes the rate by 16.7 percentage points, so these counts do not support statistical significance or general rankings. The graph conditions also changed the interface, making it difficult to separate the value of evidence from the cost of using it.</w:t>
      </w:r>
    </w:p>
    <w:p>
      <w:r>
        <w:t>Public code and fixes may have appeared in model training. Although project records call the later cohort prospective, those issues were already fixed when evaluated. The label therefore does not establish a temporal holdout. Selected tests also cover only part of each repository’s behavior.</w:t>
      </w:r>
    </w:p>
    <w:p>
      <w:r>
        <w:t>The lightweight graph and checker do not fully resolve dynamic imports, attribute calls, dispatch, or Python scoping. Their completeness was not independently measured. The available records also do not support a numerical claim about graph-construction overhead.</w:t>
      </w:r>
    </w:p>
    <w:p>
      <w:r>
        <w:t>The strength of the evidence varies by phase. Later archives and V03C retain machine-readable outcomes and logs, while some pilot and main-study figures rely on historical summaries. A complete independent audit of every model invocation is therefore not possible.</w:t>
      </w:r>
    </w:p>
    <w:p>
      <w:pPr>
        <w:pStyle w:val="Heading1"/>
      </w:pPr>
      <w:r>
        <w:rPr>
          <w:color w:val="000000"/>
        </w:rPr>
        <w:t>10 Related Work</w:t>
      </w:r>
    </w:p>
    <w:p>
      <w:r>
        <w:t>SWE-bench evaluates repository issues [1], and BugsInPy supports reproducible Python defect studies [2]. RepoGraph [3], CodexGraph [4], and Code Graph Model [5] informed the interest in structural evidence. Agentless separates localization, repair, and validation [6], which is relevant to the later staged approach. Their evaluation settings differ, so their published scores are not used as numerical baselines.</w:t>
      </w:r>
    </w:p>
    <w:p>
      <w:pPr>
        <w:pStyle w:val="Heading1"/>
      </w:pPr>
      <w:r>
        <w:rPr>
          <w:color w:val="000000"/>
        </w:rPr>
        <w:t>11 Conclusion</w:t>
      </w:r>
    </w:p>
    <w:p>
      <w:r>
        <w:t>A repaired one of six main-study defects; B and C repaired none. Later trials yielded one selected-suite pass, one abstention, and four invalid outputs. V03C exposed a schema mismatch. The next step is to improve retrieval and action reliability before repeating the graph comparison.</w:t>
      </w:r>
    </w:p>
    <w:p>
      <w:pPr>
        <w:pStyle w:val="Heading1"/>
      </w:pPr>
      <w:r>
        <w:rPr>
          <w:color w:val="000000"/>
        </w:rPr>
        <w:t>References</w:t>
      </w:r>
    </w:p>
    <w:p>
      <w:r>
        <w:rPr>
          <w:color w:val="000000"/>
        </w:rPr>
        <w:t>[1] Jimenez, C. E., et al. SWE-bench: Can Language Models Resolve Real-World GitHub Issues? ICLR 2024. https://arxiv.org/abs/2310.06770</w:t>
      </w:r>
    </w:p>
    <w:p>
      <w:r>
        <w:rPr>
          <w:color w:val="000000"/>
        </w:rPr>
        <w:t>[2] Widyasari, R., et al. BugsInPy: A Database of Existing Bugs in Python Programs to Enable Controlled Testing and Debugging Studies. ESEC/FSE 2020, pp. 1556–1560. https://doi.org/10.1145/3368089.3417943</w:t>
      </w:r>
    </w:p>
    <w:p>
      <w:r>
        <w:rPr>
          <w:color w:val="000000"/>
        </w:rPr>
        <w:t>[3] Ouyang, S., et al. RepoGraph: Enhancing AI Software Engineering with Repository-level Code Graph. ICLR 2025. https://arxiv.org/abs/2410.14684</w:t>
      </w:r>
    </w:p>
    <w:p>
      <w:r>
        <w:rPr>
          <w:color w:val="000000"/>
        </w:rPr>
        <w:t>[4] Liu, X., et al. CodexGraph: Bridging Large Language Models and Code Repositories via Code Graph Databases. NAACL 2025. https://arxiv.org/abs/2408.03910</w:t>
      </w:r>
    </w:p>
    <w:p>
      <w:r>
        <w:rPr>
          <w:color w:val="000000"/>
        </w:rPr>
        <w:t>[5] Tao, H., et al. Code Graph Model (CGM): A Graph-Integrated Large Language Model for Repository-Level Software Engineering Tasks. 2025. https://arxiv.org/abs/2505.16901</w:t>
      </w:r>
    </w:p>
    <w:p>
      <w:r>
        <w:rPr>
          <w:color w:val="000000"/>
        </w:rPr>
        <w:t>[6] Xia, C. S., Deng, Y., Dunn, S., and Zhang, L. Agentless: Demystifying LLM-based Software Engineering Agents. 2024. https://arxiv.org/abs/2407.01489</w:t>
      </w:r>
    </w:p>
    <w:p>
      <w:pPr>
        <w:pStyle w:val="Heading1"/>
      </w:pPr>
      <w:r>
        <w:t>Appendix: Evidence Records</w:t>
      </w:r>
    </w:p>
    <w:p>
      <w:r>
        <w:rPr>
          <w:color w:val="000000"/>
          <w:sz w:val="20"/>
        </w:rPr>
        <w:t>Model SHA-256</w:t>
        <w:br/>
        <w:t>676c35070db6dbe52f93e9c864ee0fba4eddea94b9c875d9cb10daff453fbaee</w:t>
      </w:r>
    </w:p>
    <w:p>
      <w:r>
        <w:rPr>
          <w:color w:val="000000"/>
          <w:sz w:val="20"/>
        </w:rPr>
        <w:t>Primary case manifest SHA-256</w:t>
        <w:br/>
        <w:t>5455ca1810a9d7dc8a81083b0a77c2de536c09ef556a024f0f823f6c9c39cabf</w:t>
      </w:r>
    </w:p>
    <w:p>
      <w:r>
        <w:rPr>
          <w:color w:val="000000"/>
          <w:sz w:val="20"/>
        </w:rPr>
        <w:t>Primary harness SHA-256</w:t>
        <w:br/>
        <w:t>065ab839153bd7c08d94c702f597e829a2cb5cef3944f35a27686b9fade392e8</w:t>
      </w:r>
    </w:p>
    <w:p>
      <w:r>
        <w:rPr>
          <w:color w:val="000000"/>
          <w:sz w:val="20"/>
        </w:rPr>
        <w:t>V03C runner SHA-256</w:t>
        <w:br/>
        <w:t>b04c3d7e4b915804581e8c09aa152906ab8fbdc2b514c6cfd668b7250131fb21</w:t>
      </w:r>
    </w:p>
    <w:p>
      <w:r>
        <w:t>Exact revisions and selectors remain in cases.json and screening records. Evidence sources include Gemma4-Frozen-Evaluation-and-Handoff.zip, the six gemma4-prospective-v01-envfix01 case ZIPs, V03C-non-actionable-evidence-v1.zip, prescreen-report-C06-C13.md, and saved notebooks.</w:t>
      </w:r>
    </w:p>
    <w:p>
      <w:r>
        <w:t>All 165 later inventory entries and 16 V03C entries matched retained sizes and SHA-256 values. This confirms internal consistency, without establishing execution authenticity or replacing missing raw records.</w:t>
      </w:r>
    </w:p>
    <w:sectPr w:rsidR="00D40FFE" w:rsidRPr="00835520" w:rsidSect="000B1238">
      <w:headerReference w:type="default" r:id="rId5"/>
      <w:footerReference w:type="default" r:id="rId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7DFE6" w14:textId="77777777" w:rsidR="000B1238" w:rsidRDefault="000B1238">
    <w:pPr>
      <w:pStyle w:val="Footer"/>
      <w:jc w:val="center"/>
      <w:rPr>
        <w:rFonts w:hint="eastAsia"/>
      </w:rPr>
    </w:pPr>
    <w:r>
      <w:rPr>
        <w:sz w:val="18"/>
      </w:rPr>
    </w:r>
    <w:fldSimple w:instr="PAGE"/>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7DA05" w14:textId="77777777" w:rsidR="000B1238" w:rsidRDefault="000B1238">
    <w:pPr>
      <w:pStyle w:val="Header"/>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F062D0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D372979"/>
    <w:multiLevelType w:val="multilevel"/>
    <w:tmpl w:val="9EAA7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A30B7A"/>
    <w:multiLevelType w:val="multilevel"/>
    <w:tmpl w:val="E09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7F7D43"/>
    <w:multiLevelType w:val="multilevel"/>
    <w:tmpl w:val="72440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0D7029"/>
    <w:multiLevelType w:val="multilevel"/>
    <w:tmpl w:val="51943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921D1D"/>
    <w:multiLevelType w:val="multilevel"/>
    <w:tmpl w:val="1FEAA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3E15CE"/>
    <w:multiLevelType w:val="multilevel"/>
    <w:tmpl w:val="5530A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615C39"/>
    <w:multiLevelType w:val="multilevel"/>
    <w:tmpl w:val="8E26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2364081">
    <w:abstractNumId w:val="0"/>
  </w:num>
  <w:num w:numId="2" w16cid:durableId="1551726215">
    <w:abstractNumId w:val="2"/>
  </w:num>
  <w:num w:numId="3" w16cid:durableId="257836543">
    <w:abstractNumId w:val="5"/>
  </w:num>
  <w:num w:numId="4" w16cid:durableId="206529878">
    <w:abstractNumId w:val="7"/>
  </w:num>
  <w:num w:numId="5" w16cid:durableId="514852929">
    <w:abstractNumId w:val="4"/>
  </w:num>
  <w:num w:numId="6" w16cid:durableId="56637115">
    <w:abstractNumId w:val="3"/>
  </w:num>
  <w:num w:numId="7" w16cid:durableId="191650288">
    <w:abstractNumId w:val="6"/>
  </w:num>
  <w:num w:numId="8" w16cid:durableId="20497969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238"/>
    <w:rsid w:val="000A71C1"/>
    <w:rsid w:val="000B1238"/>
    <w:rsid w:val="00117B4A"/>
    <w:rsid w:val="005718DF"/>
    <w:rsid w:val="006D626B"/>
    <w:rsid w:val="00835520"/>
    <w:rsid w:val="00836359"/>
    <w:rsid w:val="00B869DD"/>
    <w:rsid w:val="00D40FFE"/>
    <w:rsid w:val="00D442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98A16"/>
  <w15:chartTrackingRefBased/>
  <w15:docId w15:val="{C334B7DF-C895-43DC-B16F-5C39E7846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238"/>
    <w:pPr>
      <w:widowControl/>
      <w:spacing w:after="140" w:line="259" w:lineRule="auto"/>
    </w:pPr>
    <w:rPr>
      <w:rFonts w:ascii="Aptos" w:eastAsiaTheme="minorEastAsia" w:hAnsi="Aptos"/>
      <w:color w:val="000000"/>
      <w:kern w:val="0"/>
      <w:sz w:val="22"/>
      <w:szCs w:val="22"/>
      <w14:ligatures w14:val="none"/>
    </w:rPr>
  </w:style>
  <w:style w:type="paragraph" w:styleId="Heading1">
    <w:name w:val="heading 1"/>
    <w:basedOn w:val="Normal"/>
    <w:next w:val="Normal"/>
    <w:link w:val="Heading1Char"/>
    <w:uiPriority w:val="9"/>
    <w:qFormat/>
    <w:rsid w:val="000B1238"/>
    <w:pPr>
      <w:keepNext/>
      <w:keepLines/>
      <w:spacing w:before="280" w:after="140"/>
      <w:outlineLvl w:val="0"/>
    </w:pPr>
    <w:rPr>
      <w:rFonts w:asciiTheme="majorHAnsi" w:eastAsiaTheme="majorEastAsia" w:hAnsiTheme="majorHAnsi" w:cstheme="majorBidi" w:ascii="Aptos" w:hAnsi="Aptos"/>
      <w:color w:val="000000"/>
      <w:sz w:val="30"/>
      <w:szCs w:val="40"/>
    </w:rPr>
  </w:style>
  <w:style w:type="paragraph" w:styleId="Heading2">
    <w:name w:val="heading 2"/>
    <w:basedOn w:val="Normal"/>
    <w:next w:val="Normal"/>
    <w:link w:val="Heading2Char"/>
    <w:uiPriority w:val="9"/>
    <w:unhideWhenUsed/>
    <w:qFormat/>
    <w:rsid w:val="000B1238"/>
    <w:pPr>
      <w:keepNext/>
      <w:keepLines/>
      <w:spacing w:before="200" w:after="140"/>
      <w:outlineLvl w:val="1"/>
    </w:pPr>
    <w:rPr>
      <w:rFonts w:asciiTheme="majorHAnsi" w:eastAsiaTheme="majorEastAsia" w:hAnsiTheme="majorHAnsi" w:cstheme="majorBidi" w:ascii="Aptos" w:hAnsi="Aptos"/>
      <w:color w:val="000000"/>
      <w:sz w:val="24"/>
      <w:szCs w:val="32"/>
    </w:rPr>
  </w:style>
  <w:style w:type="paragraph" w:styleId="Heading3">
    <w:name w:val="heading 3"/>
    <w:basedOn w:val="Normal"/>
    <w:next w:val="Normal"/>
    <w:link w:val="Heading3Char"/>
    <w:uiPriority w:val="9"/>
    <w:semiHidden/>
    <w:unhideWhenUsed/>
    <w:qFormat/>
    <w:rsid w:val="000B1238"/>
    <w:pPr>
      <w:keepNext/>
      <w:keepLines/>
      <w:spacing w:before="160" w:after="140"/>
      <w:outlineLvl w:val="2"/>
    </w:pPr>
    <w:rPr>
      <w:rFonts w:eastAsiaTheme="majorEastAsia" w:cstheme="majorBidi" w:ascii="Aptos" w:hAnsi="Aptos"/>
      <w:color w:val="000000"/>
      <w:sz w:val="28"/>
      <w:szCs w:val="28"/>
    </w:rPr>
  </w:style>
  <w:style w:type="paragraph" w:styleId="Heading4">
    <w:name w:val="heading 4"/>
    <w:basedOn w:val="Normal"/>
    <w:next w:val="Normal"/>
    <w:link w:val="Heading4Char"/>
    <w:uiPriority w:val="9"/>
    <w:semiHidden/>
    <w:unhideWhenUsed/>
    <w:qFormat/>
    <w:rsid w:val="000B123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123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1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23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123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123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23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123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1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238"/>
    <w:rPr>
      <w:rFonts w:eastAsiaTheme="majorEastAsia" w:cstheme="majorBidi"/>
      <w:color w:val="272727" w:themeColor="text1" w:themeTint="D8"/>
    </w:rPr>
  </w:style>
  <w:style w:type="paragraph" w:styleId="Title">
    <w:name w:val="Title"/>
    <w:basedOn w:val="Normal"/>
    <w:next w:val="Normal"/>
    <w:link w:val="TitleChar"/>
    <w:uiPriority w:val="10"/>
    <w:qFormat/>
    <w:rsid w:val="000B1238"/>
    <w:pPr>
      <w:spacing w:after="140" w:line="240" w:lineRule="auto"/>
      <w:contextualSpacing/>
    </w:pPr>
    <w:rPr>
      <w:rFonts w:asciiTheme="majorHAnsi" w:eastAsiaTheme="majorEastAsia" w:hAnsiTheme="majorHAnsi" w:cstheme="majorBidi" w:ascii="Aptos" w:hAnsi="Aptos"/>
      <w:color w:val="000000"/>
      <w:spacing w:val="-10"/>
      <w:kern w:val="28"/>
      <w:sz w:val="48"/>
      <w:szCs w:val="56"/>
    </w:rPr>
  </w:style>
  <w:style w:type="character" w:customStyle="1" w:styleId="TitleChar">
    <w:name w:val="Title Char"/>
    <w:basedOn w:val="DefaultParagraphFont"/>
    <w:link w:val="Title"/>
    <w:uiPriority w:val="10"/>
    <w:rsid w:val="000B1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238"/>
    <w:pPr>
      <w:numPr>
        <w:ilvl w:val="1"/>
      </w:numPr>
      <w:spacing w:after="140"/>
    </w:pPr>
    <w:rPr>
      <w:rFonts w:eastAsiaTheme="majorEastAsia" w:cstheme="majorBidi" w:ascii="Aptos" w:hAnsi="Aptos"/>
      <w:color w:val="000000"/>
      <w:spacing w:val="15"/>
      <w:sz w:val="24"/>
      <w:szCs w:val="28"/>
    </w:rPr>
  </w:style>
  <w:style w:type="character" w:customStyle="1" w:styleId="SubtitleChar">
    <w:name w:val="Subtitle Char"/>
    <w:basedOn w:val="DefaultParagraphFont"/>
    <w:link w:val="Subtitle"/>
    <w:uiPriority w:val="11"/>
    <w:rsid w:val="000B1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238"/>
    <w:pPr>
      <w:spacing w:before="160"/>
      <w:jc w:val="center"/>
    </w:pPr>
    <w:rPr>
      <w:i/>
      <w:iCs/>
      <w:color w:val="404040" w:themeColor="text1" w:themeTint="BF"/>
    </w:rPr>
  </w:style>
  <w:style w:type="character" w:customStyle="1" w:styleId="QuoteChar">
    <w:name w:val="Quote Char"/>
    <w:basedOn w:val="DefaultParagraphFont"/>
    <w:link w:val="Quote"/>
    <w:uiPriority w:val="29"/>
    <w:rsid w:val="000B1238"/>
    <w:rPr>
      <w:i/>
      <w:iCs/>
      <w:color w:val="404040" w:themeColor="text1" w:themeTint="BF"/>
    </w:rPr>
  </w:style>
  <w:style w:type="paragraph" w:styleId="ListParagraph">
    <w:name w:val="List Paragraph"/>
    <w:basedOn w:val="Normal"/>
    <w:uiPriority w:val="34"/>
    <w:qFormat/>
    <w:rsid w:val="000B1238"/>
    <w:pPr>
      <w:ind w:left="720"/>
      <w:contextualSpacing/>
    </w:pPr>
  </w:style>
  <w:style w:type="character" w:styleId="IntenseEmphasis">
    <w:name w:val="Intense Emphasis"/>
    <w:basedOn w:val="DefaultParagraphFont"/>
    <w:uiPriority w:val="21"/>
    <w:qFormat/>
    <w:rsid w:val="000B1238"/>
    <w:rPr>
      <w:i/>
      <w:iCs/>
      <w:color w:val="2F5496" w:themeColor="accent1" w:themeShade="BF"/>
    </w:rPr>
  </w:style>
  <w:style w:type="paragraph" w:styleId="IntenseQuote">
    <w:name w:val="Intense Quote"/>
    <w:basedOn w:val="Normal"/>
    <w:next w:val="Normal"/>
    <w:link w:val="IntenseQuoteChar"/>
    <w:uiPriority w:val="30"/>
    <w:qFormat/>
    <w:rsid w:val="000B1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238"/>
    <w:rPr>
      <w:i/>
      <w:iCs/>
      <w:color w:val="2F5496" w:themeColor="accent1" w:themeShade="BF"/>
    </w:rPr>
  </w:style>
  <w:style w:type="character" w:styleId="IntenseReference">
    <w:name w:val="Intense Reference"/>
    <w:basedOn w:val="DefaultParagraphFont"/>
    <w:uiPriority w:val="32"/>
    <w:qFormat/>
    <w:rsid w:val="000B1238"/>
    <w:rPr>
      <w:b/>
      <w:bCs/>
      <w:smallCaps/>
      <w:color w:val="2F5496" w:themeColor="accent1" w:themeShade="BF"/>
      <w:spacing w:val="5"/>
    </w:rPr>
  </w:style>
  <w:style w:type="paragraph" w:styleId="Header">
    <w:name w:val="header"/>
    <w:basedOn w:val="Normal"/>
    <w:link w:val="HeaderChar"/>
    <w:uiPriority w:val="99"/>
    <w:unhideWhenUsed/>
    <w:rsid w:val="000B1238"/>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1238"/>
    <w:rPr>
      <w:rFonts w:ascii="Aptos" w:eastAsiaTheme="minorEastAsia" w:hAnsi="Aptos"/>
      <w:kern w:val="0"/>
      <w:sz w:val="21"/>
      <w:szCs w:val="22"/>
      <w14:ligatures w14:val="none"/>
    </w:rPr>
  </w:style>
  <w:style w:type="paragraph" w:styleId="Footer">
    <w:name w:val="footer"/>
    <w:basedOn w:val="Normal"/>
    <w:link w:val="FooterChar"/>
    <w:uiPriority w:val="99"/>
    <w:unhideWhenUsed/>
    <w:rsid w:val="000B123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238"/>
    <w:rPr>
      <w:rFonts w:ascii="Aptos" w:eastAsiaTheme="minorEastAsia" w:hAnsi="Aptos"/>
      <w:kern w:val="0"/>
      <w:sz w:val="21"/>
      <w:szCs w:val="22"/>
      <w14:ligatures w14:val="none"/>
    </w:rPr>
  </w:style>
  <w:style w:type="paragraph" w:styleId="ListBullet">
    <w:name w:val="List Bullet"/>
    <w:basedOn w:val="Normal"/>
    <w:uiPriority w:val="99"/>
    <w:unhideWhenUsed/>
    <w:rsid w:val="000B1238"/>
    <w:pPr>
      <w:numPr>
        <w:numId w:val="1"/>
      </w:numPr>
      <w:tabs>
        <w:tab w:val="clear" w:pos="360"/>
      </w:tabs>
      <w:ind w:left="0" w:firstLine="0"/>
      <w:contextualSpacing/>
    </w:pPr>
  </w:style>
  <w:style w:type="table" w:styleId="TableGrid">
    <w:name w:val="Table Grid"/>
    <w:basedOn w:val="TableNormal"/>
    <w:uiPriority w:val="59"/>
    <w:rsid w:val="000B1238"/>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ctText">
    <w:name w:val="Abstract Text"/>
    <w:rsid w:val="000B1238"/>
    <w:pPr>
      <w:spacing w:after="120" w:line="276" w:lineRule="auto"/>
      <w:ind w:left="360" w:right="360"/>
    </w:pPr>
    <w:rPr>
      <w:rFonts w:ascii="Aptos" w:eastAsiaTheme="minorEastAsia" w:hAnsi="Aptos"/>
      <w:kern w:val="0"/>
      <w:sz w:val="2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Pages>
  <Words>2226</Words>
  <Characters>12691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Typed Evidence Graphs for Reliable Local Code Repair</dc:title>
  <dc:subject>Local Gemma 4 repair evaluation and follow-up experiments</dc:subject>
  <dc:creator>Rajab Baig</dc:creator>
  <cp:keywords/>
  <dc:description/>
  <cp:lastModifiedBy>RAJAB Baig</cp:lastModifiedBy>
  <cp:revision>3</cp:revision>
  <dcterms:created xsi:type="dcterms:W3CDTF">2026-09-25T23:46:00Z</dcterms:created>
  <dcterms:modified xsi:type="dcterms:W3CDTF">2026-09-26T05:50:00Z</dcterms:modified>
</cp:coreProperties>
</file>