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Акнелит</w:t>
      </w:r>
    </w:p>
    <w:p>
      <w:pPr>
        <w:spacing w:after="160"/>
      </w:pPr>
      <w:r>
        <w:rPr>
          <w:sz w:val="22"/>
          <w:color w:val="6B7280"/>
        </w:rPr>
        <w:t xml:space="preserve">Гель с азелаиновой кислотой 15% для проблемной кожи. Эффективное средство против угревой сыпи и розацеа.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Гель для наружного применения, туба 30 г.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Азелаиновая кислота — 15%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Азелаиновая кислота</w:t>
      </w:r>
    </w:p>
    <w:p>
      <w:pPr>
        <w:spacing w:after="120"/>
      </w:pPr>
      <w:r>
        <w:rPr>
          <w:sz w:val="22"/>
        </w:rPr>
        <w:t xml:space="preserve">Нормализует процессы кератинизации в фолликулах, уменьшает образование комедонов, обладает антибактериальным и противовоспалительным действием.</w:t>
      </w:r>
    </w:p>
    <w:p>
      <w:pPr>
        <w:spacing w:after="20"/>
      </w:pPr>
      <w:r>
        <w:rPr>
          <w:b/>
          <w:sz w:val="22"/>
        </w:rPr>
        <w:t xml:space="preserve">Против бактерий</w:t>
      </w:r>
    </w:p>
    <w:p>
      <w:pPr>
        <w:spacing w:after="120"/>
      </w:pPr>
      <w:r>
        <w:rPr>
          <w:sz w:val="22"/>
        </w:rPr>
        <w:t xml:space="preserve">Снижает количество Propionibacterium acnes и Staphylococcus epidermidis на коже и в фолликулах.</w:t>
      </w:r>
    </w:p>
    <w:p>
      <w:pPr>
        <w:spacing w:after="20"/>
      </w:pPr>
      <w:r>
        <w:rPr>
          <w:b/>
          <w:sz w:val="22"/>
        </w:rPr>
        <w:t xml:space="preserve">Выравнивание тона</w:t>
      </w:r>
    </w:p>
    <w:p>
      <w:pPr>
        <w:spacing w:after="120"/>
      </w:pPr>
      <w:r>
        <w:rPr>
          <w:sz w:val="22"/>
        </w:rPr>
        <w:t xml:space="preserve">Уменьшает поствоспалительную пигментацию, выравнивает тон кожи.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Угревая сыпь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Лечение акне различной степени.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Розацеа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Уменьшение проявлений розацеа.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Комедоны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Снижение образования комедонов.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Пигментация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Уменьшение поствоспалительной пигментации.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Только для наружного применения. Наносить тонким слоем на очищенную кожу 2 раза в день. Точную информацию см. в инструкции.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компонентам. Только для наружного применения.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Возможно местное раздражение, жжение. При выраженных реакциях прекратить применение.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При температуре не выше 25 °C,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Отпускается без рецепта. Косметическое средство.</w:t>
      </w:r>
    </w:p>
    <w:p>
      <w:pPr>
        <w:spacing w:after="120"/>
      </w:pPr>
      <w:r>
        <w:rPr>
          <w:sz w:val="18"/>
          <w:color w:val="6B7280"/>
        </w:rPr>
        <w:t xml:space="preserve">Косметическое средство. Только для наружного применения. Перед применением ознакомьтесь с инструкцией. Производитель: ООО «HVARA», Республика Узбекистан, Хорезмская обл., г. Ургенч, ул. И. Дусова,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