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40"/>
      </w:pPr>
      <w:r>
        <w:rPr>
          <w:b/>
          <w:sz w:val="36"/>
          <w:color w:val="1F2937"/>
        </w:rPr>
        <w:t xml:space="preserve">Аминобелин KIDS</w:t>
      </w:r>
    </w:p>
    <w:p>
      <w:pPr>
        <w:spacing w:after="160"/>
      </w:pPr>
      <w:r>
        <w:rPr>
          <w:sz w:val="22"/>
          <w:color w:val="6B7280"/>
        </w:rPr>
        <w:t xml:space="preserve">Капли для приёма внутрь — комплекс аминокислот с витамином C. Поддержка в период активного роста ребёнка. Для детей с рождения (0+).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Форма выпуска и состав</w:t>
      </w:r>
    </w:p>
    <w:tbl>
      <w:tblPr>
        <w:tblW w:w="0" w:type="auto"/>
        <w:tblBorders>
          <w:top w:val="single" w:sz="4" w:color="D9A87E"/>
          <w:left w:val="single" w:sz="4" w:color="D9A87E"/>
          <w:bottom w:val="single" w:sz="4" w:color="D9A87E"/>
          <w:right w:val="single" w:sz="4" w:color="D9A87E"/>
          <w:insideH w:val="single" w:sz="4" w:color="D9A87E"/>
          <w:insideV w:val="single" w:sz="4" w:color="D9A87E"/>
        </w:tblBorders>
      </w:tblPr>
      <w:tblGrid>
        <w:gridCol w:w="3200"/>
        <w:gridCol w:w="6400"/>
      </w:tblGrid>
      <w:tr>
        <w:tc>
          <w:tcPr>
            <w:tcW w:w="3200" w:type="dxa"/>
            <w:shd w:val="clear" w:fill="FBE9D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Форма выпуска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Капли для приёма внутрь, флакон 50 мл.</w:t>
            </w:r>
          </w:p>
        </w:tc>
      </w:tr>
      <w:tr>
        <w:tc>
          <w:tcPr>
            <w:tcW w:w="3200" w:type="dxa"/>
            <w:shd w:val="clear" w:fill="FDEAD9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Состав (2 мл раствора)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
                Комплекс из 20 аминокислот: L-лейцин 3,76 мг, L-лизин 5 мг, L-метионин 1,84 мг, L-валин, L-изолейцин, L-треонин, L-аргинин, глицин и др.
                <w:br/>
                Витамин C — 120 мг
              </w:t>
            </w:r>
          </w:p>
        </w:tc>
      </w:tr>
    </w:tbl>
    <w:p>
      <w:pPr>
        <w:spacing w:after="60"/>
      </w:pPr>
      <w:r>
        <w:rPr>
          <w:sz w:val="22"/>
        </w:rPr>
        <w:t xml:space="preserve"/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Свойства активных веществ</w:t>
      </w:r>
    </w:p>
    <w:p>
      <w:pPr>
        <w:spacing w:after="20"/>
      </w:pPr>
      <w:r>
        <w:rPr>
          <w:b/>
          <w:sz w:val="22"/>
        </w:rPr>
        <w:t xml:space="preserve">L-лизин</w:t>
      </w:r>
    </w:p>
    <w:p>
      <w:pPr>
        <w:spacing w:after="120"/>
      </w:pPr>
      <w:r>
        <w:rPr>
          <w:sz w:val="22"/>
        </w:rPr>
        <w:t xml:space="preserve">Незаменимая аминокислота, необходимая для роста и формирования тканей, синтеза белка, коллагена и усвоения кальция. Поддерживает иммунитет.</w:t>
      </w:r>
    </w:p>
    <w:p>
      <w:pPr>
        <w:spacing w:after="20"/>
      </w:pPr>
      <w:r>
        <w:rPr>
          <w:b/>
          <w:sz w:val="22"/>
        </w:rPr>
        <w:t xml:space="preserve">L-триптофан</w:t>
      </w:r>
    </w:p>
    <w:p>
      <w:pPr>
        <w:spacing w:after="120"/>
      </w:pPr>
      <w:r>
        <w:rPr>
          <w:sz w:val="22"/>
        </w:rPr>
        <w:t xml:space="preserve">Незаменимая аминокислота, предшественник серотонина и мелатонина. Способствует гармоничному развитию нервной системы, спокойствию и здоровому сну ребёнка.</w:t>
      </w:r>
    </w:p>
    <w:p>
      <w:pPr>
        <w:spacing w:after="20"/>
      </w:pPr>
      <w:r>
        <w:rPr>
          <w:b/>
          <w:sz w:val="22"/>
        </w:rPr>
        <w:t xml:space="preserve">Витамин C</w:t>
      </w:r>
    </w:p>
    <w:p>
      <w:pPr>
        <w:spacing w:after="120"/>
      </w:pPr>
      <w:r>
        <w:rPr>
          <w:sz w:val="22"/>
        </w:rPr>
        <w:t xml:space="preserve">Антиоксидант, укрепляет иммунитет в сезон вирусов, повышает усвояемость железа, участвует в синтезе коллагена и энергетическом обмене.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Показания к применению</w:t>
      </w:r>
    </w:p>
    <w:tbl>
      <w:tblPr>
        <w:tblW w:w="0" w:type="auto"/>
        <w:tblBorders>
          <w:top w:val="single" w:sz="4" w:color="D9A87E"/>
          <w:left w:val="single" w:sz="4" w:color="D9A87E"/>
          <w:bottom w:val="single" w:sz="4" w:color="D9A87E"/>
          <w:right w:val="single" w:sz="4" w:color="D9A87E"/>
          <w:insideH w:val="single" w:sz="4" w:color="D9A87E"/>
          <w:insideV w:val="single" w:sz="4" w:color="D9A87E"/>
        </w:tblBorders>
      </w:tblPr>
      <w:tblGrid>
        <w:gridCol w:w="3200"/>
        <w:gridCol w:w="6400"/>
      </w:tblGrid>
      <w:tr>
        <w:tc>
          <w:tcPr>
            <w:tcW w:w="3200" w:type="dxa"/>
            <w:shd w:val="clear" w:fill="FBE9D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Развитие мозга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Гармоничное развитие мозга и нервной системы.</w:t>
            </w:r>
          </w:p>
        </w:tc>
      </w:tr>
      <w:tr>
        <w:tc>
          <w:tcPr>
            <w:tcW w:w="3200" w:type="dxa"/>
            <w:shd w:val="clear" w:fill="FDEAD9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Рост и ткани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Поддержка роста и формирования тканей.</w:t>
            </w:r>
          </w:p>
        </w:tc>
      </w:tr>
      <w:tr>
        <w:tc>
          <w:tcPr>
            <w:tcW w:w="3200" w:type="dxa"/>
            <w:shd w:val="clear" w:fill="FBE9D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Иммунитет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Помощь иммунной системе в сезон вирусов.</w:t>
            </w:r>
          </w:p>
        </w:tc>
      </w:tr>
      <w:tr>
        <w:tc>
          <w:tcPr>
            <w:tcW w:w="3200" w:type="dxa"/>
            <w:shd w:val="clear" w:fill="FDEAD9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Аппетит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Улучшение аппетита и усвоения пищи.</w:t>
            </w:r>
          </w:p>
        </w:tc>
      </w:tr>
    </w:tbl>
    <w:p>
      <w:pPr>
        <w:spacing w:after="60"/>
      </w:pPr>
      <w:r>
        <w:rPr>
          <w:sz w:val="22"/>
        </w:rPr>
        <w:t xml:space="preserve"/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Способ применения и дозы</w:t>
      </w:r>
    </w:p>
    <w:p>
      <w:pPr>
        <w:spacing w:after="120"/>
      </w:pPr>
      <w:r>
        <w:rPr>
          <w:b/>
          <w:sz w:val="22"/>
        </w:rPr>
        <w:t xml:space="preserve">Перед применением взбалтывать. Принимать внутрь. Допускается наличие осадка (характерно для компонентов растительного происхождения). Точную дозировку по возрасту уточняйте в инструкции к препарату или у специалиста. Подходит детям с рождения (0+).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Противопоказания</w:t>
      </w:r>
    </w:p>
    <w:p>
      <w:pPr>
        <w:spacing w:after="120"/>
      </w:pPr>
      <w:r>
        <w:rPr>
          <w:sz w:val="22"/>
        </w:rPr>
        <w:t xml:space="preserve">Индивидуальная непереносимость компонентов.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Побочные действия</w:t>
      </w:r>
    </w:p>
    <w:p>
      <w:pPr>
        <w:spacing w:after="120"/>
      </w:pPr>
      <w:r>
        <w:rPr>
          <w:sz w:val="22"/>
        </w:rPr>
        <w:t xml:space="preserve">При появлении побочных действий следует прекратить применение и обратиться к врачу.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Условия хранения</w:t>
      </w:r>
    </w:p>
    <w:p>
      <w:pPr>
        <w:spacing w:after="120"/>
      </w:pPr>
      <w:r>
        <w:rPr>
          <w:sz w:val="22"/>
        </w:rPr>
        <w:t xml:space="preserve">Хранить в сухом, защищённом от света месте, при температуре не выше 25 °C. Хранить в недоступном для детей месте.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Отпуск</w:t>
      </w:r>
    </w:p>
    <w:p>
      <w:pPr>
        <w:spacing w:after="120"/>
      </w:pPr>
      <w:r>
        <w:rPr>
          <w:sz w:val="22"/>
        </w:rPr>
        <w:t xml:space="preserve">Отпускается без рецепта. БАД, не является лекарственным средством.</w:t>
      </w:r>
    </w:p>
    <w:p>
      <w:pPr>
        <w:spacing w:after="120"/>
      </w:pPr>
      <w:r>
        <w:rPr>
          <w:sz w:val="18"/>
          <w:color w:val="6B7280"/>
        </w:rPr>
        <w:t xml:space="preserve">БАД. Не является лекарственным средством. Перед применением рекомендуется консультация специалиста. Произведено по заказу «HVARA» SRL, Piazza IV Novembre 4, 20124 Milano, Italy. Производитель: ООО «HVARA», Республика Узбекистан, Хорезмская обл., г. Ургенч, ул. И. Дусова, д. 117.</w:t>
      </w:r>
    </w:p>
    <w:sectPr>
      <w:pgSz w:w="11906" w:h="16838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</w:rPr>
    </w:rPrDefault>
  </w:docDefaults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/Relationships>
</file>