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Б-нервус</w:t>
      </w:r>
    </w:p>
    <w:p>
      <w:pPr>
        <w:spacing w:after="160"/>
      </w:pPr>
      <w:r>
        <w:rPr>
          <w:sz w:val="22"/>
          <w:color w:val="6B7280"/>
        </w:rPr>
        <w:t xml:space="preserve">Капсулы с экстрактом черники, таурином и фолиевой кислотой. Для лечения и профилактики глазных заболеваний.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Капсулы, 30 шт. в упаковке.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черники (Myrtillus)
                <w:br/>
                Таурин (Taurinium)
                <w:br/>
                Фолиевая кислота (Acidum folicum)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Экстракт черники</w:t>
      </w:r>
    </w:p>
    <w:p>
      <w:pPr>
        <w:spacing w:after="120"/>
      </w:pPr>
      <w:r>
        <w:rPr>
          <w:sz w:val="22"/>
        </w:rPr>
        <w:t xml:space="preserve">Богат антоцианами — мощными антиоксидантами, которые поддерживают микроциркуляцию сетчатки, улучшают остроту зрения в сумерках и снижают усталость глаз.</w:t>
      </w:r>
    </w:p>
    <w:p>
      <w:pPr>
        <w:spacing w:after="20"/>
      </w:pPr>
      <w:r>
        <w:rPr>
          <w:b/>
          <w:sz w:val="22"/>
        </w:rPr>
        <w:t xml:space="preserve">Таурин</w:t>
      </w:r>
    </w:p>
    <w:p>
      <w:pPr>
        <w:spacing w:after="120"/>
      </w:pPr>
      <w:r>
        <w:rPr>
          <w:sz w:val="22"/>
        </w:rPr>
        <w:t xml:space="preserve">Аминокислота, стимулирующая восстановительные и обменные процессы в тканях глаза, поддерживает функцию сетчатки.</w:t>
      </w:r>
    </w:p>
    <w:p>
      <w:pPr>
        <w:spacing w:after="20"/>
      </w:pPr>
      <w:r>
        <w:rPr>
          <w:b/>
          <w:sz w:val="22"/>
        </w:rPr>
        <w:t xml:space="preserve">Фолиевая кислота</w:t>
      </w:r>
    </w:p>
    <w:p>
      <w:pPr>
        <w:spacing w:after="120"/>
      </w:pPr>
      <w:r>
        <w:rPr>
          <w:sz w:val="22"/>
        </w:rPr>
        <w:t xml:space="preserve">Участвует в обменных процессах и поддержании нервной ткани, дополняет действие комплекса.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остроты зрения и здоровья глаз.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Сетчатка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Питание и защита сетчатки.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Усталость глаз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зрительного утомления при нагрузках.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глазных заболеваний.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Режим приёма указан на упаковке или назначается специалистом, обычно во время еды. Перед применением рекомендуется консультация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применением рекомендуется консультация специалиста. Не превышать рекомендуемые дозы.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