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Бетамакс</w:t>
      </w:r>
    </w:p>
    <w:p>
      <w:pPr>
        <w:spacing w:after="160"/>
      </w:pPr>
      <w:r>
        <w:rPr>
          <w:sz w:val="22"/>
          <w:color w:val="6B7280"/>
        </w:rPr>
        <w:t xml:space="preserve">Раствор для приёма внутрь — комплекс макро- и микроэлементов. Для профилактики и коррекции минерального обмена.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Раствор для приёма внутрь, 90 мл.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Назначение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Профилактика и коррекция нарушений минерального обмена, дефицита макро- и микроэлементов.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Макроэлементы</w:t>
      </w:r>
    </w:p>
    <w:p>
      <w:pPr>
        <w:spacing w:after="120"/>
      </w:pPr>
      <w:r>
        <w:rPr>
          <w:sz w:val="22"/>
        </w:rPr>
        <w:t xml:space="preserve">Комплекс минералов в виде легкоусвояемых солей поддерживает минеральный обмен.</w:t>
      </w:r>
    </w:p>
    <w:p>
      <w:pPr>
        <w:spacing w:after="20"/>
      </w:pPr>
      <w:r>
        <w:rPr>
          <w:b/>
          <w:sz w:val="22"/>
        </w:rPr>
        <w:t xml:space="preserve">Микроэлементы</w:t>
      </w:r>
    </w:p>
    <w:p>
      <w:pPr>
        <w:spacing w:after="120"/>
      </w:pPr>
      <w:r>
        <w:rPr>
          <w:sz w:val="22"/>
        </w:rPr>
        <w:t xml:space="preserve">Восполняют дефицит важных микроэлементов в организме.</w:t>
      </w:r>
    </w:p>
    <w:p>
      <w:pPr>
        <w:spacing w:after="20"/>
      </w:pPr>
      <w:r>
        <w:rPr>
          <w:b/>
          <w:sz w:val="22"/>
        </w:rPr>
        <w:t xml:space="preserve">Минеральный баланс</w:t>
      </w:r>
    </w:p>
    <w:p>
      <w:pPr>
        <w:spacing w:after="120"/>
      </w:pPr>
      <w:r>
        <w:rPr>
          <w:sz w:val="22"/>
        </w:rPr>
        <w:t xml:space="preserve">Способствует поддержанию нормального минерального обмена.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Минеральный обмен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Профилактика и коррекция нарушений минерального обмена.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Дефицит элементов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Восполнение дефицита макро- и микроэлементов.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Баланс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Поддержание минерального баланса.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Профилактика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Профилактический приём при повышенной потребности в минералах.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Принимать внутрь согласно инструкции внутри упаковки. Точную дозировку уточняйте в инструкции к препарату или у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специалисту.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защищённом от света месте, при температуре от 5 до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Не является лекарственным средством. Отпускается без рецепта.</w:t>
      </w:r>
    </w:p>
    <w:p>
      <w:pPr>
        <w:spacing w:after="120"/>
      </w:pPr>
      <w:r>
        <w:rPr>
          <w:sz w:val="18"/>
          <w:color w:val="6B7280"/>
        </w:rPr>
        <w:t xml:space="preserve">Не является лекарственным средством. Перед применением ознакомьтесь с инструкцией. Производитель: ООО «HVARA», Республика Узбекистан.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