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Биовелл</w:t>
      </w:r>
    </w:p>
    <w:p>
      <w:pPr>
        <w:spacing w:after="160"/>
      </w:pPr>
      <w:r>
        <w:rPr>
          <w:sz w:val="22"/>
          <w:color w:val="6B7280"/>
        </w:rPr>
        <w:t xml:space="preserve">Мультиштаммовый синбиотик (пробиотик + пребиотик) в саше. Восстановление микробиоты кишечника, в том числе при приёме антибиотиков.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Саше, №20. Итого 12,5 × 10⁹ КОЕ — 4 штамма + 3 типа пребиотиков.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S. boulardii CNCM I-745 — 2,5 × 10⁹ · LGG — 5 × 10⁹
                <w:br/>
                L. plantarum — 3 × 10⁹ · B. lactis — 2 × 10⁹ КОЕ
                <w:br/>
                FOS/GOS — 300 мг · MOS — 200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Уровень 1 — пробиотики</w:t>
      </w:r>
    </w:p>
    <w:p>
      <w:pPr>
        <w:spacing w:after="120"/>
      </w:pPr>
      <w:r>
        <w:rPr>
          <w:sz w:val="22"/>
        </w:rPr>
        <w:t xml:space="preserve">4 штамма с доказанной эффективностью: S. boulardii (при антибиотик-ассоциированной диарее и C. difficile), Lactobacillus rhamnosus GG, Bifidobacterium lactis и Lactobacillus plantarum — восстанавливают баланс микрофлоры и укрепляют иммунный барьер кишечника.</w:t>
      </w:r>
    </w:p>
    <w:p>
      <w:pPr>
        <w:spacing w:after="20"/>
      </w:pPr>
      <w:r>
        <w:rPr>
          <w:b/>
          <w:sz w:val="22"/>
        </w:rPr>
        <w:t xml:space="preserve">Уровень 2 — пребиотики</w:t>
      </w:r>
    </w:p>
    <w:p>
      <w:pPr>
        <w:spacing w:after="120"/>
      </w:pPr>
      <w:r>
        <w:rPr>
          <w:sz w:val="22"/>
        </w:rPr>
        <w:t xml:space="preserve">FOS/GOS питают полезные лакто- и бифидобактерии; MOS (маннаноолигосахариды) связывают патогены (E. coli, Salmonella) и выводят их, защищая эпителий кишечника.</w:t>
      </w:r>
    </w:p>
    <w:p>
      <w:pPr>
        <w:spacing w:after="20"/>
      </w:pPr>
      <w:r>
        <w:rPr>
          <w:b/>
          <w:sz w:val="22"/>
        </w:rPr>
        <w:t xml:space="preserve">Уровень 3 — барьерный</w:t>
      </w:r>
    </w:p>
    <w:p>
      <w:pPr>
        <w:spacing w:after="120"/>
      </w:pPr>
      <w:r>
        <w:rPr>
          <w:sz w:val="22"/>
        </w:rPr>
        <w:t xml:space="preserve">Синергия пробиотиков и пребиотиков восстанавливает барьерную функцию кишечника, снижает «лекарственную» проницаемость, нормализует продукцию секреторного IgA.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антибиотиков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антибиотик-ассоциированной диареи, приём через 2–3 часа после антибиотика.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Микробиота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и баланс микробиоты кишечника.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Пищеварение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Нормализация стула, профилактика запоров, уменьшение вздутия.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Укрепление местного иммунного барьера кишечника.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саше растворить в 50–100 мл воды комнатной температуры (не горячее 37 °C — горячая вода убивает пробиотики). Принимать до или после еды. При приёме антибиотиков — через 2–3 часа после антибиотика. Безопасно при беременности и лактации (с 1 триместра).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компонентов, дети до 1 года (без назначения врача).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Беременность и лактация</w:t>
      </w:r>
    </w:p>
    <w:p>
      <w:pPr>
        <w:spacing w:after="120"/>
      </w:pPr>
      <w:r>
        <w:rPr>
          <w:sz w:val="22"/>
        </w:rPr>
        <w:t xml:space="preserve">Безопасно: штаммы изучены в РКИ у беременных и кормящих, не проникают в системный кровоток.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сухом месте, защищать от прямого солнечного света.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 (КОЕ гарантируется в течение срока годности). Отпускается без рецепта. БАД.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проконсультироваться с врачом. Произведено по заказу Welfar Central İlaç A.Ş., İstanbul, Türkiye.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