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Димефертин</w:t>
      </w:r>
    </w:p>
    <w:p>
      <w:pPr>
        <w:spacing w:after="160"/>
      </w:pPr>
      <w:r>
        <w:rPr>
          <w:sz w:val="22"/>
          <w:color w:val="6B7280"/>
        </w:rPr>
        <w:t xml:space="preserve">Гель для приёма внутрь с мио- и D-хиро-инозитолом. Для нормализации женского и мужского гормонального баланса и общего тонуса.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Гель для приёма внутрь (10 мл в стике), №30.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стика (10 мл)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Мио-инозитол — 2000 мг · D-хиро-инозитол — 50 мг
                <w:br/>
                Магний бисглицинат — 150 мг · Пиридоксин (B6) — 5 мг
                <w:br/>
                Метилфолат — 0,5 мг · Селенметионин — 125 мкг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Мио-инозитол (B8)</w:t>
      </w:r>
    </w:p>
    <w:p>
      <w:pPr>
        <w:spacing w:after="120"/>
      </w:pPr>
      <w:r>
        <w:rPr>
          <w:sz w:val="22"/>
        </w:rPr>
        <w:t xml:space="preserve">Обеспечивает работу рецепторов половых гормонов и инсулина, нормализует уровень андрогенов и пролактина, регулирует менструальный цикл и созревание яйцеклетки, действует как антагонист инсулинорезистентности.</w:t>
      </w:r>
    </w:p>
    <w:p>
      <w:pPr>
        <w:spacing w:after="20"/>
      </w:pPr>
      <w:r>
        <w:rPr>
          <w:b/>
          <w:sz w:val="22"/>
        </w:rPr>
        <w:t xml:space="preserve">D-хиро-инозитол</w:t>
      </w:r>
    </w:p>
    <w:p>
      <w:pPr>
        <w:spacing w:after="120"/>
      </w:pPr>
      <w:r>
        <w:rPr>
          <w:sz w:val="22"/>
        </w:rPr>
        <w:t xml:space="preserve">Повышает чувствительность к инсулину, улучшает овуляцию при СПКЯ, регулирует гормональный баланс и липидный обмен печени, обладает антиоксидантным и противовоспалительным действием.</w:t>
      </w:r>
    </w:p>
    <w:p>
      <w:pPr>
        <w:spacing w:after="20"/>
      </w:pPr>
      <w:r>
        <w:rPr>
          <w:b/>
          <w:sz w:val="22"/>
        </w:rPr>
        <w:t xml:space="preserve">Магний, B6, B9, селен</w:t>
      </w:r>
    </w:p>
    <w:p>
      <w:pPr>
        <w:spacing w:after="120"/>
      </w:pPr>
      <w:r>
        <w:rPr>
          <w:sz w:val="22"/>
        </w:rPr>
        <w:t xml:space="preserve">Магний и B6 снижают стресс, ПМС и спазмы, поддерживают нервную систему; фолиевая кислота важна при подготовке к беременности; селен поддерживает работу щитовидной железы.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Женское здоровье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Нормализация цикла при аменорее, олигоменорее, ановуляции, подготовка к беременности, СПКЯ.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Мужское здоровье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Улучшение количества, качества и подвижности сперматозоидов, гормональный баланс.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Метаболизм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метаболическом синдроме и инсулинорезистентности.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Тонус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тревожности, поддержка нервной системы и энергии.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Принимать внутрь. Взрослым — по 1 стик-пакету 1–2 раза в сутки во время еды. Гель не разбавлять. Продолжительность приёма — 30 дней. Начало приёма возможно с любого дня цикла. При необходимости по рекомендации специалиста курс можно повторить.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компонентов, детям до 12 лет. Беременным и кормящим — по согласованию с врачом.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Произведено по заказу «HVARA» SRL, Milano, Italy.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