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Дролоцит Био</w:t>
      </w:r>
    </w:p>
    <w:p>
      <w:pPr>
        <w:spacing w:after="160"/>
      </w:pPr>
      <w:r>
        <w:rPr>
          <w:sz w:val="22"/>
          <w:color w:val="6B7280"/>
        </w:rPr>
        <w:t xml:space="preserve">Раствор для приёма внутрь с цитиколином и витамином B12. Ноотроп для восстановления нервной системы и когнитивных функций.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Форма выпуска и состав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Форма выпуска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Раствор для приёма внутрь, 50 мл во флаконе.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Состав на 5 мл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
                Цитиколин — 500 мг
                <w:br/>
                Витамин B12 (метилкобаламин) — 500 мкг
              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Свойства активных веществ</w:t>
      </w:r>
    </w:p>
    <w:p>
      <w:pPr>
        <w:spacing w:after="20"/>
      </w:pPr>
      <w:r>
        <w:rPr>
          <w:b/>
          <w:sz w:val="22"/>
        </w:rPr>
        <w:t xml:space="preserve">Цитиколин</w:t>
      </w:r>
    </w:p>
    <w:p>
      <w:pPr>
        <w:spacing w:after="120"/>
      </w:pPr>
      <w:r>
        <w:rPr>
          <w:sz w:val="22"/>
        </w:rPr>
        <w:t xml:space="preserve">Увеличивает выработку фосфолипидов в мозге, восстанавливает мембраны клеток мозга и укрепляет связь между нервными клетками. Один из самых эффективных ноотропов: поддерживает память, внимание и сосредоточенность.</w:t>
      </w:r>
    </w:p>
    <w:p>
      <w:pPr>
        <w:spacing w:after="20"/>
      </w:pPr>
      <w:r>
        <w:rPr>
          <w:b/>
          <w:sz w:val="22"/>
        </w:rPr>
        <w:t xml:space="preserve">Витамин B12 (метилкобаламин)</w:t>
      </w:r>
    </w:p>
    <w:p>
      <w:pPr>
        <w:spacing w:after="120"/>
      </w:pPr>
      <w:r>
        <w:rPr>
          <w:sz w:val="22"/>
        </w:rPr>
        <w:t xml:space="preserve">Участвует в кроветворении, синтезе ДНК и белков, восстановлении нервных волокон и проводимости нервных импульсов, снижает неврологическую слабость.</w:t>
      </w:r>
    </w:p>
    <w:p>
      <w:pPr>
        <w:spacing w:after="20"/>
      </w:pPr>
      <w:r>
        <w:rPr>
          <w:b/>
          <w:sz w:val="22"/>
        </w:rPr>
        <w:t xml:space="preserve">Совместное действие</w:t>
      </w:r>
    </w:p>
    <w:p>
      <w:pPr>
        <w:spacing w:after="120"/>
      </w:pPr>
      <w:r>
        <w:rPr>
          <w:sz w:val="22"/>
        </w:rPr>
        <w:t xml:space="preserve">Способствует нормальному энергетическому обмену, поддержке когнитивных функций и снижению утомляемости, защите функций мозга.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Показания к применению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инсульта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Неврологические и когнитивные нарушения, связанные с инсультом.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После травм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Расстройства, связанные с черепно-мозговыми травмами.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Память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Возрастные проблемы с памятью, снижение концентрации.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Нервная система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Восстановление нервных волокон, защита функций мозга.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Способ применения и дозы</w:t>
      </w:r>
    </w:p>
    <w:p>
      <w:pPr>
        <w:spacing w:after="120"/>
      </w:pPr>
      <w:r>
        <w:rPr>
          <w:b/>
          <w:sz w:val="22"/>
        </w:rPr>
        <w:t xml:space="preserve">Внутрь, во время или сразу после еды, предварительно взболтав. Детям — по 1 мл 2–3 раза в день; взрослым — по 5 мл 2–3 раза в день. Продолжительность — от 1,5 до 3 месяцев в зависимости от состояния. Дозы может изменить врач.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Противопоказания</w:t>
      </w:r>
    </w:p>
    <w:p>
      <w:pPr>
        <w:spacing w:after="120"/>
      </w:pPr>
      <w:r>
        <w:rPr>
          <w:sz w:val="22"/>
        </w:rPr>
        <w:t xml:space="preserve">Индивидуальная непереносимость компонентов. Беременность и кормление грудью — только по рекомендации специалиста.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Побочные действия</w:t>
      </w:r>
    </w:p>
    <w:p>
      <w:pPr>
        <w:spacing w:after="120"/>
      </w:pPr>
      <w:r>
        <w:rPr>
          <w:sz w:val="22"/>
        </w:rPr>
        <w:t xml:space="preserve">Редко — аллергические реакции, расстройства пищеварения. При появлении прекратить приём и обратиться к специалисту.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Условия хранения</w:t>
      </w:r>
    </w:p>
    <w:p>
      <w:pPr>
        <w:spacing w:after="120"/>
      </w:pPr>
      <w:r>
        <w:rPr>
          <w:sz w:val="22"/>
        </w:rPr>
        <w:t xml:space="preserve">В сухом, защищённом от света месте, при температуре не выше 25 °C. Хранить в недоступном для детей месте.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Срок годности · отпуск</w:t>
      </w:r>
    </w:p>
    <w:p>
      <w:pPr>
        <w:spacing w:after="120"/>
      </w:pPr>
      <w:r>
        <w:rPr>
          <w:sz w:val="22"/>
        </w:rPr>
        <w:t xml:space="preserve">24 месяца. Отпускается без рецепта. БАД, не является лекарственным средством.</w:t>
      </w:r>
    </w:p>
    <w:p>
      <w:pPr>
        <w:spacing w:after="120"/>
      </w:pPr>
      <w:r>
        <w:rPr>
          <w:sz w:val="18"/>
          <w:color w:val="6B7280"/>
        </w:rPr>
        <w:t xml:space="preserve">БАД. Не является лекарственным средством. Перед применением рекомендуется консультация специалиста. Не превышать рекомендуемые дозы. Производитель: ООО «HVARA», Республика Узбекистан, Хорезмская обл., г. Ургенч, ул. Дусова, д. 117.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