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32"/>
          <w:color w:val="1F2937"/>
        </w:rPr>
        <w:t xml:space="preserve">Экстралипт</w:t>
      </w:r>
    </w:p>
    <w:p>
      <w:pPr>
        <w:numPr>
          <w:ilvl w:val="0"/>
          <w:numId w:val="1"/>
        </w:numPr>
        <w:spacing w:after="80"/>
      </w:pPr>
      <w:r>
        <w:rPr>
          <w:sz w:val="22"/>
        </w:rPr>
        <w:t xml:space="preserve">Форма выпуска: Жидкость в полимерных или стеклянных флаконах с распылительными насадками.</w:t>
      </w:r>
    </w:p>
    <w:p>
      <w:pPr>
        <w:numPr>
          <w:ilvl w:val="0"/>
          <w:numId w:val="1"/>
        </w:numPr>
        <w:spacing w:after="80"/>
      </w:pPr>
      <w:r>
        <w:rPr>
          <w:sz w:val="22"/>
        </w:rPr>
        <w:t xml:space="preserve">Состав на 100 мл: Экстракт солодки — 2 г · Эвкалипт — 0,2 г, Экстракт алтея — 2 г · Масло мяты — 0,06 г</w:t>
      </w:r>
    </w:p>
    <w:p>
      <w:pPr>
        <w:numPr>
          <w:ilvl w:val="0"/>
          <w:numId w:val="1"/>
        </w:numPr>
        <w:spacing w:after="80"/>
      </w:pPr>
      <w:r>
        <w:rPr>
          <w:sz w:val="22"/>
        </w:rPr>
        <w:t xml:space="preserve">Эвкалипт — Эфирное масло обладает вяжущим эффектом, подавляет развитие патогенной микрофлоры, повышает активность иммунной системы, ускоряет регенерацию тканей и укрепляет сосуды.</w:t>
      </w:r>
    </w:p>
    <w:p>
      <w:pPr>
        <w:numPr>
          <w:ilvl w:val="0"/>
          <w:numId w:val="1"/>
        </w:numPr>
        <w:spacing w:after="80"/>
      </w:pPr>
      <w:r>
        <w:rPr>
          <w:sz w:val="22"/>
        </w:rPr>
        <w:t xml:space="preserve">Солодка — Глицирризиновая кислота активирует факторы иммунной системы, укрепляет слизистые верхних дыхательных путей и ослабляет синтез факторов воспаления.</w:t>
      </w:r>
    </w:p>
    <w:p>
      <w:pPr>
        <w:numPr>
          <w:ilvl w:val="0"/>
          <w:numId w:val="1"/>
        </w:numPr>
        <w:spacing w:after="80"/>
      </w:pPr>
      <w:r>
        <w:rPr>
          <w:sz w:val="22"/>
        </w:rPr>
        <w:t xml:space="preserve">Мята перечная — Ментол активирует кровообращение, повышает устойчивость слизистой рта и глотки к повреждающим агентам, тормозит развитие болезнетворных бактерий.</w:t>
      </w:r>
    </w:p>
    <w:p>
      <w:pPr>
        <w:numPr>
          <w:ilvl w:val="0"/>
          <w:numId w:val="1"/>
        </w:numPr>
        <w:spacing w:after="80"/>
      </w:pPr>
      <w:r>
        <w:rPr>
          <w:sz w:val="22"/>
        </w:rPr>
        <w:t xml:space="preserve">Горло — Поддержание нормальной функции слизистых рта и верхних дыхательных путей.</w:t>
      </w:r>
    </w:p>
    <w:p>
      <w:pPr>
        <w:numPr>
          <w:ilvl w:val="0"/>
          <w:numId w:val="1"/>
        </w:numPr>
        <w:spacing w:after="80"/>
      </w:pPr>
      <w:r>
        <w:rPr>
          <w:sz w:val="22"/>
        </w:rPr>
        <w:t xml:space="preserve">Иммунитет — Устойчивый местный иммунитет, защита от инфекций.</w:t>
      </w:r>
    </w:p>
    <w:p>
      <w:pPr>
        <w:numPr>
          <w:ilvl w:val="0"/>
          <w:numId w:val="1"/>
        </w:numPr>
        <w:spacing w:after="80"/>
      </w:pPr>
      <w:r>
        <w:rPr>
          <w:sz w:val="22"/>
        </w:rPr>
        <w:t xml:space="preserve">Простуда — Снижает восприимчивость слизистых к холоду и инфекции.</w:t>
      </w:r>
    </w:p>
    <w:p>
      <w:pPr>
        <w:numPr>
          <w:ilvl w:val="0"/>
          <w:numId w:val="1"/>
        </w:numPr>
        <w:spacing w:after="80"/>
      </w:pPr>
      <w:r>
        <w:rPr>
          <w:sz w:val="22"/>
        </w:rPr>
        <w:t xml:space="preserve">Свежесть — Освежает дыхание и устраняет неприятные запахи изо рта.</w:t>
      </w:r>
    </w:p>
    <w:p>
      <w:pPr>
        <w:numPr>
          <w:ilvl w:val="0"/>
          <w:numId w:val="1"/>
        </w:numPr>
        <w:spacing w:after="80"/>
      </w:pPr>
      <w:r>
        <w:rPr>
          <w:sz w:val="22"/>
        </w:rPr>
        <w:t xml:space="preserve">Взрослым и детям для гигиены полости рта распылять непосредственно в полость рта и глотки 3–4 раза в день. Воздержаться от приёма пищи и питья за 30 минут до и после использования. При необходимости возможно дополнительное применение.</w:t>
      </w:r>
    </w:p>
    <w:p>
      <w:pPr>
        <w:numPr>
          <w:ilvl w:val="0"/>
          <w:numId w:val="1"/>
        </w:numPr>
        <w:spacing w:after="80"/>
      </w:pPr>
      <w:r>
        <w:rPr>
          <w:sz w:val="22"/>
        </w:rPr>
        <w:t xml:space="preserve">Противопоказания: Не выявлены.</w:t>
      </w:r>
    </w:p>
    <w:p>
      <w:pPr>
        <w:numPr>
          <w:ilvl w:val="0"/>
          <w:numId w:val="1"/>
        </w:numPr>
        <w:spacing w:after="80"/>
      </w:pPr>
      <w:r>
        <w:rPr>
          <w:sz w:val="22"/>
        </w:rPr>
        <w:t xml:space="preserve">Побочные действия: Не выявлены. При появлении побочных действий следует прекратить применение и обратиться к врачу.</w:t>
      </w:r>
    </w:p>
    <w:p>
      <w:pPr>
        <w:numPr>
          <w:ilvl w:val="0"/>
          <w:numId w:val="1"/>
        </w:numPr>
        <w:spacing w:after="80"/>
      </w:pPr>
      <w:r>
        <w:rPr>
          <w:sz w:val="22"/>
        </w:rPr>
        <w:t xml:space="preserve">Условия хранения: В сухом, защищённом от света месте, при температуре не выше 25 °C.</w:t>
      </w:r>
    </w:p>
    <w:p>
      <w:pPr>
        <w:numPr>
          <w:ilvl w:val="0"/>
          <w:numId w:val="1"/>
        </w:numPr>
        <w:spacing w:after="80"/>
      </w:pPr>
      <w:r>
        <w:rPr>
          <w:sz w:val="22"/>
        </w:rPr>
        <w:t xml:space="preserve">Срок годности · отпуск: 36 месяцев. Отпускается без рецепта. Гигиеническое средство, не является лекарством.</w:t>
      </w:r>
    </w:p>
    <w:p>
      <w:pPr>
        <w:numPr>
          <w:ilvl w:val="0"/>
          <w:numId w:val="1"/>
        </w:numPr>
        <w:spacing w:after="80"/>
      </w:pPr>
      <w:r>
        <w:rPr>
          <w:sz w:val="22"/>
        </w:rPr>
        <w:t xml:space="preserve">Гигиеническое средство. Не является лекарственным средством! Перед применением рекомендуется консультация специалиста. Ts 306766008-002:2020. Производитель: ООО «HVARA», 220100, Республика Узбекистан, Хорезмская обл., г. Ургенч, ул. И. Дусов, д. 117.</w:t>
      </w:r>
    </w:p>
    <w:sectPr>
      <w:pgSz w:w="11906" w:h="16838"/>
      <w:pgMar w:top="1134" w:right="1134" w:bottom="1134" w:left="1134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lvlJc w:val="left"/>
      <w:pPr>
        <w:ind w:left="360" w:hanging="360"/>
      </w:pPr>
    </w:lvl>
  </w:abstractNum>
  <w:num w:numId="1">
    <w:abstractNumId w:val="0"/>
  </w:num>
</w:numbering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numbering" Target="numbering.xml"/></Relationships>
</file>