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Aminobelin KIDS</w:t>
      </w:r>
    </w:p>
    <w:p>
      <w:pPr>
        <w:spacing w:after="160"/>
      </w:pPr>
      <w:r>
        <w:rPr>
          <w:sz w:val="22"/>
          <w:color w:val="6B7280"/>
        </w:rPr>
        <w:t xml:space="preserve">Oral drops — an amino-acid complex with vitamin C. Support during a child's active growth. For children from birth (0+).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50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(per 2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 complex of 20 amino acids: L-leucine 3.76 mg, L-lysine 5 mg, L-methionine 1.84 mg, L-valine, L-isoleucine, L-threonine, L-arginine, glycine and others
                <w:br/>
                Vitamin C — 120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L-lysine</w:t>
      </w:r>
    </w:p>
    <w:p>
      <w:pPr>
        <w:spacing w:after="120"/>
      </w:pPr>
      <w:r>
        <w:rPr>
          <w:sz w:val="22"/>
        </w:rPr>
        <w:t xml:space="preserve">An essential amino acid needed for growth and tissue formation, protein and collagen synthesis and calcium absorption. Supports immunity.</w:t>
      </w:r>
    </w:p>
    <w:p>
      <w:pPr>
        <w:spacing w:after="20"/>
      </w:pPr>
      <w:r>
        <w:rPr>
          <w:b/>
          <w:sz w:val="22"/>
        </w:rPr>
        <w:t xml:space="preserve">L-tryptophan</w:t>
      </w:r>
    </w:p>
    <w:p>
      <w:pPr>
        <w:spacing w:after="120"/>
      </w:pPr>
      <w:r>
        <w:rPr>
          <w:sz w:val="22"/>
        </w:rPr>
        <w:t xml:space="preserve">An essential amino acid, a precursor of serotonin and melatonin. Promotes harmonious nervous system development, calmness and healthy sleep in children.</w:t>
      </w:r>
    </w:p>
    <w:p>
      <w:pPr>
        <w:spacing w:after="20"/>
      </w:pPr>
      <w:r>
        <w:rPr>
          <w:b/>
          <w:sz w:val="22"/>
        </w:rPr>
        <w:t xml:space="preserve">Vitamin C</w:t>
      </w:r>
    </w:p>
    <w:p>
      <w:pPr>
        <w:spacing w:after="120"/>
      </w:pPr>
      <w:r>
        <w:rPr>
          <w:sz w:val="22"/>
        </w:rPr>
        <w:t xml:space="preserve">An antioxidant that strengthens immunity during the virus season, improves iron absorption and participates in collagen synthesis and energy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Brain development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Harmonious brain and nervous system development.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Growth and tissues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growth and tissue formation.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Help for the immune system during the virus season.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Appetite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Improved appetite and food absorption.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Shake before use. Take orally. A sediment may be present (typical of plant-origin components). Check the exact age-based dosage in the product leaflet or with a specialist. Suitable for children from birth (0+).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Store 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Made to order for HVARA SRL, Piazza IV Novembre 4, 20124 Milan, Italy.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