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Astaxion</w:t>
      </w:r>
    </w:p>
    <w:p>
      <w:pPr>
        <w:spacing w:after="160"/>
      </w:pPr>
      <w:r>
        <w:rPr>
          <w:sz w:val="22"/>
          <w:color w:val="6B7280"/>
        </w:rPr>
        <w:t xml:space="preserve">Capsules with astaxanthin, blueberry and goji berry extracts. A powerful antioxidant and immunostimulant for vision and the nervous system.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60 per pack.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Natural astaxanthin — 12 mg
                <w:br/>
                Blueberry extract — 20 mg
                <w:br/>
                Goji berry extract — 20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Astaxanthin</w:t>
      </w:r>
    </w:p>
    <w:p>
      <w:pPr>
        <w:spacing w:after="120"/>
      </w:pPr>
      <w:r>
        <w:rPr>
          <w:sz w:val="22"/>
        </w:rPr>
        <w:t xml:space="preserve">A natural carotenoid with powerful antioxidant properties. It crosses the blood-brain and blood-retinal barriers, protecting the eyes, brain and nervous system. It is 550 times stronger than vitamin E and 6000 times stronger than vitamin C.</w:t>
      </w:r>
    </w:p>
    <w:p>
      <w:pPr>
        <w:spacing w:after="20"/>
      </w:pPr>
      <w:r>
        <w:rPr>
          <w:b/>
          <w:sz w:val="22"/>
        </w:rPr>
        <w:t xml:space="preserve">Blueberry extract</w:t>
      </w:r>
    </w:p>
    <w:p>
      <w:pPr>
        <w:spacing w:after="120"/>
      </w:pPr>
      <w:r>
        <w:rPr>
          <w:sz w:val="22"/>
        </w:rPr>
        <w:t xml:space="preserve">Enhances visual acuity, widens the field of vision and reduces eye fatigue. Participates in the biochemical processes of the visual system.</w:t>
      </w:r>
    </w:p>
    <w:p>
      <w:pPr>
        <w:spacing w:after="20"/>
      </w:pPr>
      <w:r>
        <w:rPr>
          <w:b/>
          <w:sz w:val="22"/>
        </w:rPr>
        <w:t xml:space="preserve">Goji berries</w:t>
      </w:r>
    </w:p>
    <w:p>
      <w:pPr>
        <w:spacing w:after="120"/>
      </w:pPr>
      <w:r>
        <w:rPr>
          <w:sz w:val="22"/>
        </w:rPr>
        <w:t xml:space="preserve">Contain 11 macroelements, 22 trace elements and 18 amino acids, including essential ones. They support overall tone and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Protection and strengthening of the eyes, reduced fatigue, retinal protection.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the risk of Alzheimer's and Parkinson's diseases and protects the CNS.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Strengthens immunity and increases endurance and performance.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Anti-aging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Protects against age-related aging; prevention of strokes and heart attacks.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and children over 6 years — 1 capsule once a day with meals. The course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children under 6 years.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