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Biovell</w:t>
      </w:r>
    </w:p>
    <w:p>
      <w:pPr>
        <w:spacing w:after="160"/>
      </w:pPr>
      <w:r>
        <w:rPr>
          <w:sz w:val="22"/>
          <w:color w:val="6B7280"/>
        </w:rPr>
        <w:t xml:space="preserve">A multi-strain synbiotic (probiotic + prebiotic) in sachets. Restoration of gut microbiota, including during antibiotic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Sachets, No.20. Total 12.5 × 10⁹ CFU — 4 strains + 3 prebiotic types.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S. boulardii CNCM I-745 — 2.5 × 10⁹ · LGG — 5 × 10⁹
                <w:br/>
                L. plantarum — 3 × 10⁹ · B. lactis — 2 × 10⁹ CFU
                <w:br/>
                FOS/GOS — 300 mg · MOS — 200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Level 1 — probiotics</w:t>
      </w:r>
    </w:p>
    <w:p>
      <w:pPr>
        <w:spacing w:after="120"/>
      </w:pPr>
      <w:r>
        <w:rPr>
          <w:sz w:val="22"/>
        </w:rPr>
        <w:t xml:space="preserve">4 strains with proven efficacy: S. boulardii (for antibiotic-associated diarrhea and C. difficile), Lactobacillus rhamnosus GG, Bifidobacterium lactis and Lactobacillus plantarum — restore microflora balance and strengthen the gut immune barrier.</w:t>
      </w:r>
    </w:p>
    <w:p>
      <w:pPr>
        <w:spacing w:after="20"/>
      </w:pPr>
      <w:r>
        <w:rPr>
          <w:b/>
          <w:sz w:val="22"/>
        </w:rPr>
        <w:t xml:space="preserve">Level 2 — prebiotics</w:t>
      </w:r>
    </w:p>
    <w:p>
      <w:pPr>
        <w:spacing w:after="120"/>
      </w:pPr>
      <w:r>
        <w:rPr>
          <w:sz w:val="22"/>
        </w:rPr>
        <w:t xml:space="preserve">FOS/GOS feed beneficial lacto- and bifidobacteria; MOS (mannan-oligosaccharides) bind pathogens (E. coli, Salmonella) and remove them, protecting the gut epithelium.</w:t>
      </w:r>
    </w:p>
    <w:p>
      <w:pPr>
        <w:spacing w:after="20"/>
      </w:pPr>
      <w:r>
        <w:rPr>
          <w:b/>
          <w:sz w:val="22"/>
        </w:rPr>
        <w:t xml:space="preserve">Level 3 — barrier</w:t>
      </w:r>
    </w:p>
    <w:p>
      <w:pPr>
        <w:spacing w:after="120"/>
      </w:pPr>
      <w:r>
        <w:rPr>
          <w:sz w:val="22"/>
        </w:rPr>
        <w:t xml:space="preserve">The synergy of probiotics and prebiotics restores the gut barrier function, reduces drug-induced permeability and normalizes secretory IgA production.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After antibiotics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of antibiotic-associated diarrhea; take 2–3 hours after the antibiotic.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Microbiota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Restoration and balance of gut microbiota.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Digestion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Stool normalization, constipation prevention, reduced bloating.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Strengthening the gut local immune barrier.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Dissolve the sachet contents in 50–100 ml of room-temperature water (no hotter than 37 °C — hot water kills probiotics). Take before or after meals. With antibiotics — 2–3 hours after the antibiotic. Safe during pregnancy and lactation (from the 1st trimester).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components, children under 1 year (without a doctor's prescription).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Pregnancy &amp; lactation</w:t>
      </w:r>
    </w:p>
    <w:p>
      <w:pPr>
        <w:spacing w:after="120"/>
      </w:pPr>
      <w:r>
        <w:rPr>
          <w:sz w:val="22"/>
        </w:rPr>
        <w:t xml:space="preserve">Safe: the strains have been studied in RCTs in pregnant and breastfeeding women and do not enter the systemic bloodstream.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in a dry place, protected from direct sunlight.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 (CFU guaranteed throughout shelf life). Available without prescription. Dietary supplement.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doctor is recommended before use. Made to order for Welfar Central İlaç A.Ş., Istanbul, Türkiye.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