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Drolocit Bio</w:t>
      </w:r>
    </w:p>
    <w:p>
      <w:pPr>
        <w:spacing w:after="160"/>
      </w:pPr>
      <w:r>
        <w:rPr>
          <w:sz w:val="22"/>
          <w:color w:val="6B7280"/>
        </w:rPr>
        <w:t xml:space="preserve">Oral solution with citicoline and vitamin B12. A nootropic for nervous system recovery and cognitive function.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solution, 50 ml bottle.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Citicoline — 500 mg
                <w:br/>
                Vitamin B12 (methylcobalamin) — 500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Citicoline</w:t>
      </w:r>
    </w:p>
    <w:p>
      <w:pPr>
        <w:spacing w:after="120"/>
      </w:pPr>
      <w:r>
        <w:rPr>
          <w:sz w:val="22"/>
        </w:rPr>
        <w:t xml:space="preserve">Increases phospholipid production in the brain, restores brain cell membranes and strengthens connections between nerve cells. One of the most effective nootropics: supports memory, attention and focus.</w:t>
      </w:r>
    </w:p>
    <w:p>
      <w:pPr>
        <w:spacing w:after="20"/>
      </w:pPr>
      <w:r>
        <w:rPr>
          <w:b/>
          <w:sz w:val="22"/>
        </w:rPr>
        <w:t xml:space="preserve">Vitamin B12 (methylcobalamin)</w:t>
      </w:r>
    </w:p>
    <w:p>
      <w:pPr>
        <w:spacing w:after="120"/>
      </w:pPr>
      <w:r>
        <w:rPr>
          <w:sz w:val="22"/>
        </w:rPr>
        <w:t xml:space="preserve">Participates in hematopoiesis, DNA and protein synthesis, nerve fiber recovery and nerve impulse conduction, and reduces neurological weakness.</w:t>
      </w:r>
    </w:p>
    <w:p>
      <w:pPr>
        <w:spacing w:after="20"/>
      </w:pPr>
      <w:r>
        <w:rPr>
          <w:b/>
          <w:sz w:val="22"/>
        </w:rPr>
        <w:t xml:space="preserve">Combined action</w:t>
      </w:r>
    </w:p>
    <w:p>
      <w:pPr>
        <w:spacing w:after="120"/>
      </w:pPr>
      <w:r>
        <w:rPr>
          <w:sz w:val="22"/>
        </w:rPr>
        <w:t xml:space="preserve">Promotes normal energy metabolism, supports cognitive function, reduces fatigue and protects brain function.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stroke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Neurological and cognitive disorders associated with stroke.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injuries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Disorders associated with head injuries.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Age-related memory problems, reduced concentration.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Nerve fiber recovery, protection of brain function.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Orally, during or right after meals, after shaking. Children — 1 ml 2–3 times a day; adults — 5 ml 2–3 times a day. Duration: 1.5 to 3 months depending on condition. Doses may be adjusted by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 Pregnancy and breastfeeding — only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Rarely — allergic reactions, digestive disturbances. If they occur, stop use and consult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