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color w:val="1F2937"/>
        </w:rPr>
        <w:t xml:space="preserve">Ekstralipt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Form: Liquid in polymer or glass bottles with spray nozzles.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Composition per 100 ml: Licorice extract — 2 g · Eucalyptus — 0.2 g, Marshmallow extract — 2 g · Mint oil — 0.06 g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Eucalyptus — The essential oil has an astringent effect, suppresses pathogenic microflora, boosts immune activity, accelerates tissue regeneration and strengthens vessels.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Licorice — Glycyrrhizic acid activates immune-system factors, strengthens the mucous membranes of the upper respiratory tract and reduces the synthesis of inflammatory factors.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Peppermint — Menthol activates blood circulation, increases the resistance of the mouth and throat mucosa to damaging agents and inhibits pathogenic bacteria.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Throat — Maintains normal function of the mouth and upper respiratory tract mucosa.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Immunity — Steady local immunity, protection against infections.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Colds — Reduces mucosal sensitivity to cold and infection.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Freshness — Freshens breath and eliminates bad odors.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For oral hygiene, adults and children spray directly into the mouth and throat 3–4 times a day. Avoid eating and drinking for 30 minutes before and after use. Additional use is possible if needed.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Contraindications: None identified.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Side effects: None identified. If side effects occur, stop use and consult a doctor.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Storage: In a dry place protected from light, at no more than 25 °C.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Shelf life · dispensing: 36 months. Available without prescription. Hygiene product, not a medicine.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Hygiene product. Not a medicine! Consultation with a specialist is recommended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