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E-Vilife</w:t>
      </w:r>
    </w:p>
    <w:p>
      <w:pPr>
        <w:spacing w:after="160"/>
      </w:pPr>
      <w:r>
        <w:rPr>
          <w:sz w:val="22"/>
          <w:color w:val="6B7280"/>
        </w:rPr>
        <w:t xml:space="preserve">Vitamin E capsules (alpha-tocopherol 400 mg). An antioxidant for blood vessels, immunity, the reproductive system and muscles.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Capsules for oral use, 0.5 g, No.30.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capsule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Alpha-tocopherol acetate (vitamin E) — 400 mg
                <w:br/>
                Excipient: sunflower oil.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Vessels and heart</w:t>
      </w:r>
    </w:p>
    <w:p>
      <w:pPr>
        <w:spacing w:after="120"/>
      </w:pPr>
      <w:r>
        <w:rPr>
          <w:sz w:val="22"/>
        </w:rPr>
        <w:t xml:space="preserve">Affects blood clotting, helping to prevent thrombosis, improves the elasticity of large and small vessels and slows cholesterol plaque formation.</w:t>
      </w:r>
    </w:p>
    <w:p>
      <w:pPr>
        <w:spacing w:after="20"/>
      </w:pPr>
      <w:r>
        <w:rPr>
          <w:b/>
          <w:sz w:val="22"/>
        </w:rPr>
        <w:t xml:space="preserve">Reproductive system</w:t>
      </w:r>
    </w:p>
    <w:p>
      <w:pPr>
        <w:spacing w:after="120"/>
      </w:pPr>
      <w:r>
        <w:rPr>
          <w:sz w:val="22"/>
        </w:rPr>
        <w:t xml:space="preserve">Vital for normal reproductive function: improves sperm production in men, and in women participates in regulating the menstrual cycle and eases menopausal symptoms.</w:t>
      </w:r>
    </w:p>
    <w:p>
      <w:pPr>
        <w:spacing w:after="20"/>
      </w:pPr>
      <w:r>
        <w:rPr>
          <w:b/>
          <w:sz w:val="22"/>
        </w:rPr>
        <w:t xml:space="preserve">Muscles, nerves, immunity</w:t>
      </w:r>
    </w:p>
    <w:p>
      <w:pPr>
        <w:spacing w:after="120"/>
      </w:pPr>
      <w:r>
        <w:rPr>
          <w:sz w:val="22"/>
        </w:rPr>
        <w:t xml:space="preserve">Regulates energy metabolism in muscles (glycogen storage), improves nervous system function, strengthens immunity, aids vitamin D absorption and protects vitamin A from breakdown.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Vitamin E deficiency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Increased need for vitamin E, including in children with insufficient dietary intake.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Muscles and nerves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Muscular dystrophy, myasthenia, myopathy, asthenic and neurasthenic syndrome.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Skin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Skin conditions (dermatoses).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Antioxidant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Antioxidant protection of the body.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Take orally. Check the exact dosage and course duration in the product leaflet or with a specialist.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components.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If side effects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 Keep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Made to order for HVARA SRL, Piazza IV Novembre 4, 20124 Milan, Italy.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