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Forteks</w:t>
      </w:r>
    </w:p>
    <w:p>
      <w:pPr>
        <w:spacing w:after="160"/>
      </w:pPr>
      <w:r>
        <w:rPr>
          <w:sz w:val="22"/>
          <w:color w:val="6B7280"/>
        </w:rPr>
        <w:t xml:space="preserve">A complex for joints and bones: glucosamine, chondroitin, MSM, calcium, magnesium and vitamins K2/D3. Cartilage support.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Powder for oral use in 5 g sachets, No.20.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sachet (5 g)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Glucosamine sulfate — 750 mg · MSM — 500 mg
                <w:br/>
                Chondroitin sulfate — 600 mg · Calcium phosphate — 400 mg
                <w:br/>
                Magnesium bisglycinate — 100 mg · Vit. K2 — 100 mcg · Vit. D3 — 400 IU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Glucosamine + Chondroitin + MSM</w:t>
      </w:r>
    </w:p>
    <w:p>
      <w:pPr>
        <w:spacing w:after="120"/>
      </w:pPr>
      <w:r>
        <w:rPr>
          <w:sz w:val="22"/>
        </w:rPr>
        <w:t xml:space="preserve">Glucosamine is a substrate for cartilage formation and a precursor of glycosaminoglycans. Chondroitin provides cartilage elasticity and resilience. MSM is a source of organic sulfur, reducing pain and stiffness in joints.</w:t>
      </w:r>
    </w:p>
    <w:p>
      <w:pPr>
        <w:spacing w:after="20"/>
      </w:pPr>
      <w:r>
        <w:rPr>
          <w:b/>
          <w:sz w:val="22"/>
        </w:rPr>
        <w:t xml:space="preserve">Calcium and magnesium</w:t>
      </w:r>
    </w:p>
    <w:p>
      <w:pPr>
        <w:spacing w:after="120"/>
      </w:pPr>
      <w:r>
        <w:rPr>
          <w:sz w:val="22"/>
        </w:rPr>
        <w:t xml:space="preserve">Calcium phosphate supports bone mineral density and muscle function. Magnesium bisglycinate is a cofactor of over 300 reactions, important for the skeleton, muscles and nerve conduction, with high bioavailability.</w:t>
      </w:r>
    </w:p>
    <w:p>
      <w:pPr>
        <w:spacing w:after="20"/>
      </w:pPr>
      <w:r>
        <w:rPr>
          <w:b/>
          <w:sz w:val="22"/>
        </w:rPr>
        <w:t xml:space="preserve">Vitamins K2 and D3</w:t>
      </w:r>
    </w:p>
    <w:p>
      <w:pPr>
        <w:spacing w:after="120"/>
      </w:pPr>
      <w:r>
        <w:rPr>
          <w:sz w:val="22"/>
        </w:rPr>
        <w:t xml:space="preserve">D3 enhances calcium absorption and regulates calcium and phosphorus metabolism. K2 directs calcium into the bone matrix, preventing its deposition in vessels. They work synergistically for proper bone mineralization.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Joints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Osteoarthritis and degenerative-dystrophic diseases of joints and spine.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Age-related changes in bone and cartilage tissue, periods of increased joint load.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Recovery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bone recovery after injuries and surgery.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Bones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and combined therapy of osteoporosis, replenishment of vitamin D deficiency.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Dissolve the contents of 1 sachet in a glass of water (150–200 ml), mix thoroughly and take orally during or right after meals, 1 sachet 1–2 times a day. Course: usually 1–3 months, may be repeated.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 During pregnancy, breastfeeding and childhood — after consulting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Individual hypersensitivity reactions to the components are possible. If they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Do not use after the expiry date.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