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Gammalon Bio</w:t>
      </w:r>
    </w:p>
    <w:p>
      <w:pPr>
        <w:spacing w:after="160"/>
      </w:pPr>
      <w:r>
        <w:rPr>
          <w:sz w:val="22"/>
          <w:color w:val="6B7280"/>
        </w:rPr>
        <w:t xml:space="preserve">A neuroprotective complex with GABA, magnesium and vitamins B6/B12. Support for the nervous system and brain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in 5 g sachets,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500 mg · Magnesium bisglycinate — 200 mg
                <w:br/>
                Vitamin B6 — 1000 mcg · Vitamin B12 — 500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GABA</w:t>
      </w:r>
    </w:p>
    <w:p>
      <w:pPr>
        <w:spacing w:after="120"/>
      </w:pPr>
      <w:r>
        <w:rPr>
          <w:sz w:val="22"/>
        </w:rPr>
        <w:t xml:space="preserve">One of the main regulatory neurotransmitters of the CNS: reduces neuronal excitability and has a mild hypotensive effect.</w:t>
      </w:r>
    </w:p>
    <w:p>
      <w:pPr>
        <w:spacing w:after="20"/>
      </w:pPr>
      <w:r>
        <w:rPr>
          <w:b/>
          <w:sz w:val="22"/>
        </w:rPr>
        <w:t xml:space="preserve">Magnesium bisglycinate</w:t>
      </w:r>
    </w:p>
    <w:p>
      <w:pPr>
        <w:spacing w:after="120"/>
      </w:pPr>
      <w:r>
        <w:rPr>
          <w:sz w:val="22"/>
        </w:rPr>
        <w:t xml:space="preserve">Provides voltage-dependent blockade of NMDA receptors, preventing excessive calcium influx into neurons and their death from excitotoxicity.</w:t>
      </w:r>
    </w:p>
    <w:p>
      <w:pPr>
        <w:spacing w:after="20"/>
      </w:pPr>
      <w:r>
        <w:rPr>
          <w:b/>
          <w:sz w:val="22"/>
        </w:rPr>
        <w:t xml:space="preserve">Vitamins B6 and B12</w:t>
      </w:r>
    </w:p>
    <w:p>
      <w:pPr>
        <w:spacing w:after="120"/>
      </w:pPr>
      <w:r>
        <w:rPr>
          <w:sz w:val="22"/>
        </w:rPr>
        <w:t xml:space="preserve">B6 optimizes magnesium absorption and neurotransmitter synthesis (tryptophan→serotonin, glutamate→GABA). B12 promotes nerve fiber regeneration and supports cognitive function through methylation.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 &amp; attention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Decline in memory, concentration and mental performance.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Cognitive impairment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cerebrovascular insufficiency and after head injuries.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Anxiety &amp; 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anxiety, irritability and sleep disturbances.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Neurological complications in B-vitamin deficiency.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Adults — 1 sachet once a day in the evening after meals. Duration: 3 months. Consultation with a doctor is recommended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severe renal insufficiency, Leber's disease, childhood, pregnancy and lactation.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intolerance to the components. 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doctor is recommended before use. Do not exceed the recommended doses.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