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Karnirad</w:t>
      </w:r>
    </w:p>
    <w:p>
      <w:pPr>
        <w:spacing w:after="160"/>
      </w:pPr>
      <w:r>
        <w:rPr>
          <w:sz w:val="22"/>
          <w:color w:val="6B7280"/>
        </w:rPr>
        <w:t xml:space="preserve">Oral solution — levocarnitine, rhodiola extract and vitamin B12. To reduce fatigue and boost performance.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solution, 100 ml bottle with a measuring cup.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Levocarnitine — 100 mg
                <w:br/>
                Rhodiola extract — 20 mg
                <w:br/>
                Vitamin B12 — 0.5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L-carnitine</w:t>
      </w:r>
    </w:p>
    <w:p>
      <w:pPr>
        <w:spacing w:after="120"/>
      </w:pPr>
      <w:r>
        <w:rPr>
          <w:sz w:val="22"/>
        </w:rPr>
        <w:t xml:space="preserve">A natural substance related to B vitamins. Transports fatty acids into mitochondria, where they are oxidized to produce energy (ATP).</w:t>
      </w:r>
    </w:p>
    <w:p>
      <w:pPr>
        <w:spacing w:after="20"/>
      </w:pPr>
      <w:r>
        <w:rPr>
          <w:b/>
          <w:sz w:val="22"/>
        </w:rPr>
        <w:t xml:space="preserve">Rhodiola extract</w:t>
      </w:r>
    </w:p>
    <w:p>
      <w:pPr>
        <w:spacing w:after="120"/>
      </w:pPr>
      <w:r>
        <w:rPr>
          <w:sz w:val="22"/>
        </w:rPr>
        <w:t xml:space="preserve">A stimulant for asthenic states, increased fatigue, neurasthenia and vegetative-vascular dystonia. Improves working capacity.</w:t>
      </w:r>
    </w:p>
    <w:p>
      <w:pPr>
        <w:spacing w:after="20"/>
      </w:pPr>
      <w:r>
        <w:rPr>
          <w:b/>
          <w:sz w:val="22"/>
        </w:rPr>
        <w:t xml:space="preserve">Vitamin B12</w:t>
      </w:r>
    </w:p>
    <w:p>
      <w:pPr>
        <w:spacing w:after="120"/>
      </w:pPr>
      <w:r>
        <w:rPr>
          <w:sz w:val="22"/>
        </w:rPr>
        <w:t xml:space="preserve">Immunomodulatory and anti-atherosclerotic action, restores nerve tissue, participates in amino-acid synthesis and carbohydrate/lipid metabolism.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Boosts immunity and resistance to infections.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Detox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Has a pronounced detoxifying activity.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Vitality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Prevents quick fatigue, increases endurance.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Memory &amp; stress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Improves memory, increases resistance to stress.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Children — 5 ml once a day; adults and children over 12 — 10 ml once a day with meals. Course: 2–3 weeks.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