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Kids Bayu</w:t>
      </w:r>
    </w:p>
    <w:p>
      <w:pPr>
        <w:spacing w:after="160"/>
      </w:pPr>
      <w:r>
        <w:rPr>
          <w:sz w:val="22"/>
          <w:color w:val="6B7280"/>
        </w:rPr>
        <w:t xml:space="preserve">Oral solution based on chamomile, lemon balm, valerian and glycine. Gentle support for calm sleep in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100 ml bottle with a measuring cup.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Chamomile extract — 15 mg
                <w:br/>
                Lemon balm extract — 10 mg
                <w:br/>
                Valerian extract — 20 mg · Glycine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Chamomile</w:t>
      </w:r>
    </w:p>
    <w:p>
      <w:pPr>
        <w:spacing w:after="120"/>
      </w:pPr>
      <w:r>
        <w:rPr>
          <w:sz w:val="22"/>
        </w:rPr>
        <w:t xml:space="preserve">Contains essential oils and flavonoids, has anti-inflammatory and antioxidant action, gently soothes.</w:t>
      </w:r>
    </w:p>
    <w:p>
      <w:pPr>
        <w:spacing w:after="20"/>
      </w:pPr>
      <w:r>
        <w:rPr>
          <w:b/>
          <w:sz w:val="22"/>
        </w:rPr>
        <w:t xml:space="preserve">Glycine &amp; lemon balm</w:t>
      </w:r>
    </w:p>
    <w:p>
      <w:pPr>
        <w:spacing w:after="120"/>
      </w:pPr>
      <w:r>
        <w:rPr>
          <w:sz w:val="22"/>
        </w:rPr>
        <w:t xml:space="preserve">Glycine reduces psycho-emotional tension and improves performance; lemon balm calms, reduces irritability and anxiety and promotes restful sleep.</w:t>
      </w:r>
    </w:p>
    <w:p>
      <w:pPr>
        <w:spacing w:after="20"/>
      </w:pPr>
      <w:r>
        <w:rPr>
          <w:b/>
          <w:sz w:val="22"/>
        </w:rPr>
        <w:t xml:space="preserve">Valerian</w:t>
      </w:r>
    </w:p>
    <w:p>
      <w:pPr>
        <w:spacing w:after="120"/>
      </w:pPr>
      <w:r>
        <w:rPr>
          <w:sz w:val="22"/>
        </w:rPr>
        <w:t xml:space="preserve">Has a sedative effect, eases falling asleep and improves sleep quality. The effect develops gently and steadily over a course.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Falling asleep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difficulties falling asleep in children.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Excitability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nervous excitability and irritability.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Sleep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sleep disturbances, improves sleep quality.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Colic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intestinal colic.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 with meals. Children 1–3 years — 5 ml twice a day; 3–12 years — 5 ml three times a day; adults and children over 12 — 10 ml three times a day. Course: 7–14 days, up to 30 days on a specialist's recommendation.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components, pregnancy.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