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MaloxiMAKS</w:t>
      </w:r>
    </w:p>
    <w:p>
      <w:pPr>
        <w:spacing w:after="160"/>
      </w:pPr>
      <w:r>
        <w:rPr>
          <w:sz w:val="22"/>
          <w:color w:val="6B7280"/>
        </w:rPr>
        <w:t xml:space="preserve">An antacid suspension in sachets. Relief for heartburn and stomach pain. Mint flavor.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suspension, 15 ml sachets,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15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Magnesium hydroxide (gel) — 600 mg
                <w:br/>
                Aluminium hydroxide (gel) — 525 mg
                <w:br/>
                Mint oil, citric acid, mannitol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Acid neutralization</w:t>
      </w:r>
    </w:p>
    <w:p>
      <w:pPr>
        <w:spacing w:after="120"/>
      </w:pPr>
      <w:r>
        <w:rPr>
          <w:sz w:val="22"/>
        </w:rPr>
        <w:t xml:space="preserve">Aluminium and magnesium hydroxide neutralize free hydrochloric acid without causing secondary hypersecretion. The balanced combination reduces side effects.</w:t>
      </w:r>
    </w:p>
    <w:p>
      <w:pPr>
        <w:spacing w:after="20"/>
      </w:pPr>
      <w:r>
        <w:rPr>
          <w:b/>
          <w:sz w:val="22"/>
        </w:rPr>
        <w:t xml:space="preserve">Pepsin reduction</w:t>
      </w:r>
    </w:p>
    <w:p>
      <w:pPr>
        <w:spacing w:after="120"/>
      </w:pPr>
      <w:r>
        <w:rPr>
          <w:sz w:val="22"/>
        </w:rPr>
        <w:t xml:space="preserve">Raising the pH of gastric juice reduces pepsin activity.</w:t>
      </w:r>
    </w:p>
    <w:p>
      <w:pPr>
        <w:spacing w:after="20"/>
      </w:pPr>
      <w:r>
        <w:rPr>
          <w:b/>
          <w:sz w:val="22"/>
        </w:rPr>
        <w:t xml:space="preserve">Mucosal protection</w:t>
      </w:r>
    </w:p>
    <w:p>
      <w:pPr>
        <w:spacing w:after="120"/>
      </w:pPr>
      <w:r>
        <w:rPr>
          <w:sz w:val="22"/>
        </w:rPr>
        <w:t xml:space="preserve">Has an adsorbing and coating effect, reducing the impact of damaging factors on the esophageal and gastric mucosa.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Heartburn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heartburn and epigastric discomfort, including dietary indiscretions.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Gastritis &amp; ulcer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Acute gastroduodenitis, peptic ulcer in the acute phase.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Reflux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Reflux esophagitis, hiatal hernia.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Dyspepsia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dyspepsia when taking NSAIDs and corticosteroids.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Children over 15 and adults — contents of 1–2 sachets (15–30 ml) 1–1.5 h after meals or when heartburn occurs. If needed, an additional dose after 2 h. Maximum — 12 sachets (180 ml) per day. Course: no more than 2–3 months.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Pregnancy and breastfeeding, hypophosphatemia, severe renal insufficiency, fructose intolerance, age under 15.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Infrequent — diarrhea, constipation. Hypersensitivity reactions possible. Long-term high doses may disturb mineral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Made to order for Hvara SRL, Milan, Italy.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