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Mikrolife</w:t>
      </w:r>
    </w:p>
    <w:p>
      <w:pPr>
        <w:spacing w:after="160"/>
      </w:pPr>
      <w:r>
        <w:rPr>
          <w:sz w:val="22"/>
          <w:color w:val="6B7280"/>
        </w:rPr>
        <w:t xml:space="preserve">A powder for an oral suspension, enriched with zinc. Regulation of bowel function and digestive support.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Form and composition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Form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Powder for an oral suspension, 15 ml ampoules.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Feature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Enriched with zinc (Zn). Available without prescription.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Properties of active ingredients</w:t>
      </w:r>
    </w:p>
    <w:p>
      <w:pPr>
        <w:spacing w:after="20"/>
      </w:pPr>
      <w:r>
        <w:rPr>
          <w:b/>
          <w:sz w:val="22"/>
        </w:rPr>
        <w:t xml:space="preserve">Zinc</w:t>
      </w:r>
    </w:p>
    <w:p>
      <w:pPr>
        <w:spacing w:after="120"/>
      </w:pPr>
      <w:r>
        <w:rPr>
          <w:sz w:val="22"/>
        </w:rPr>
        <w:t xml:space="preserve">Participates in metabolic processes, supports bowel function, immunity and mucosal regeneration.</w:t>
      </w:r>
    </w:p>
    <w:p>
      <w:pPr>
        <w:spacing w:after="20"/>
      </w:pPr>
      <w:r>
        <w:rPr>
          <w:b/>
          <w:sz w:val="22"/>
        </w:rPr>
        <w:t xml:space="preserve">Bowel regulation</w:t>
      </w:r>
    </w:p>
    <w:p>
      <w:pPr>
        <w:spacing w:after="120"/>
      </w:pPr>
      <w:r>
        <w:rPr>
          <w:sz w:val="22"/>
        </w:rPr>
        <w:t xml:space="preserve">Helps regulate large-intestine physiology and soften stool for medical purposes.</w:t>
      </w:r>
    </w:p>
    <w:p>
      <w:pPr>
        <w:spacing w:after="20"/>
      </w:pPr>
      <w:r>
        <w:rPr>
          <w:b/>
          <w:sz w:val="22"/>
        </w:rPr>
        <w:t xml:space="preserve">GI support</w:t>
      </w:r>
    </w:p>
    <w:p>
      <w:pPr>
        <w:spacing w:after="120"/>
      </w:pPr>
      <w:r>
        <w:rPr>
          <w:sz w:val="22"/>
        </w:rPr>
        <w:t xml:space="preserve">Used in the treatment of hepatic coma or precoma and to normalize bowel function.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Indications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Intestine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Regulation of large-intestine physiology.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Stool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Stool softening for medical purposes.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Liver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Support in hepatic coma or precoma.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Digestion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Normalization of digestion.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Dosage and administration</w:t>
      </w:r>
    </w:p>
    <w:p>
      <w:pPr>
        <w:spacing w:after="120"/>
      </w:pPr>
      <w:r>
        <w:rPr>
          <w:b/>
          <w:sz w:val="22"/>
        </w:rPr>
        <w:t xml:space="preserve">Dissolve the ampoule contents as directed and take orally. Check the exact dosage and course duration in the product leaflet or with a specialist.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Contraindications</w:t>
      </w:r>
    </w:p>
    <w:p>
      <w:pPr>
        <w:spacing w:after="120"/>
      </w:pPr>
      <w:r>
        <w:rPr>
          <w:sz w:val="22"/>
        </w:rPr>
        <w:t xml:space="preserve">Individual intolerance to the components.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Side effects</w:t>
      </w:r>
    </w:p>
    <w:p>
      <w:pPr>
        <w:spacing w:after="120"/>
      </w:pPr>
      <w:r>
        <w:rPr>
          <w:sz w:val="22"/>
        </w:rPr>
        <w:t xml:space="preserve">If side effects occur, stop use and consult a doctor.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Storage</w:t>
      </w:r>
    </w:p>
    <w:p>
      <w:pPr>
        <w:spacing w:after="120"/>
      </w:pPr>
      <w:r>
        <w:rPr>
          <w:sz w:val="22"/>
        </w:rPr>
        <w:t xml:space="preserve">At no more than 25 °C, out of reach of children.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Dispensing</w:t>
      </w:r>
    </w:p>
    <w:p>
      <w:pPr>
        <w:spacing w:after="120"/>
      </w:pPr>
      <w:r>
        <w:rPr>
          <w:sz w:val="22"/>
        </w:rPr>
        <w:t xml:space="preserve">Available without prescription. Dietary supplement, not a medicine.</w:t>
      </w:r>
    </w:p>
    <w:p>
      <w:pPr>
        <w:spacing w:after="120"/>
      </w:pPr>
      <w:r>
        <w:rPr>
          <w:sz w:val="18"/>
          <w:color w:val="6B7280"/>
        </w:rPr>
        <w:t xml:space="preserve">Dietary supplement. Not a medicine. Consultation with a specialist is recommended before use. Manufacturer: LLC HVARA, Republic of Uzbekistan, Khorezm region, Urgench, I. Dusov St. 117.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