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Mio Inofol</w:t>
      </w:r>
    </w:p>
    <w:p>
      <w:pPr>
        <w:spacing w:after="160"/>
      </w:pPr>
      <w:r>
        <w:rPr>
          <w:sz w:val="22"/>
          <w:color w:val="6B7280"/>
        </w:rPr>
        <w:t xml:space="preserve">Capsules with myo-inositol and folic acid. Hormonal balance, cycle regulation and pregnancy preparation.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Myo-inositol — 500 mg
                <w:br/>
                Folic acid (vit. B9) — 100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Myo-inositol</w:t>
      </w:r>
    </w:p>
    <w:p>
      <w:pPr>
        <w:spacing w:after="120"/>
      </w:pPr>
      <w:r>
        <w:rPr>
          <w:sz w:val="22"/>
        </w:rPr>
        <w:t xml:space="preserve">Ensures the function of sex-hormone and insulin receptors, supports the balance of female hormones, normalizes androgen and prolactin levels and reduces signs of hyperandrogenism (including PCOS).</w:t>
      </w:r>
    </w:p>
    <w:p>
      <w:pPr>
        <w:spacing w:after="20"/>
      </w:pPr>
      <w:r>
        <w:rPr>
          <w:b/>
          <w:sz w:val="22"/>
        </w:rPr>
        <w:t xml:space="preserve">Cycle regulation</w:t>
      </w:r>
    </w:p>
    <w:p>
      <w:pPr>
        <w:spacing w:after="120"/>
      </w:pPr>
      <w:r>
        <w:rPr>
          <w:sz w:val="22"/>
        </w:rPr>
        <w:t xml:space="preserve">Participates in regulating the menstrual cycle and helps normalize it, plays a role in egg maturation in preparation for fertilization and reduces insulin resistance.</w:t>
      </w:r>
    </w:p>
    <w:p>
      <w:pPr>
        <w:spacing w:after="20"/>
      </w:pPr>
      <w:r>
        <w:rPr>
          <w:b/>
          <w:sz w:val="22"/>
        </w:rPr>
        <w:t xml:space="preserve">Folic acid</w:t>
      </w:r>
    </w:p>
    <w:p>
      <w:pPr>
        <w:spacing w:after="120"/>
      </w:pPr>
      <w:r>
        <w:rPr>
          <w:sz w:val="22"/>
        </w:rPr>
        <w:t xml:space="preserve">Needed for cell division and the growth of the circulatory and immune systems. Recommended when planning pregnancy and in the first trimester for harmonious fetal development.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Menstrual cycle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menstrual cycle disorders.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PMS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premenstrual syndrome.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PCOS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Hyperandrogenism, polycystic ovary syndrome.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Planning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During pre-conception preparation.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Adults and children over 12 — 1 capsule 1–4 times a day. Duration: 30 days. May be started on any day of the cycle.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children under 12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Pregnant and breastfeeding women — by agreement and under a doctor's supervision. Consultation with a specialist is recommended before use. Do not use after the expiry 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