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Neurokentron KIDS</w:t>
      </w:r>
    </w:p>
    <w:p>
      <w:pPr>
        <w:spacing w:after="160"/>
      </w:pPr>
      <w:r>
        <w:rPr>
          <w:sz w:val="22"/>
          <w:color w:val="6B7280"/>
        </w:rPr>
        <w:t xml:space="preserve">Oral gel with cytidine, uridine, lecithin and methylfolate. Nourishment and development of the nervous system in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gel, 10 ml (sticks).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Cytidine — 10 mg · Uridine — 20 mg
                <w:br/>
                Lecithin — 100 mg · Methylfolate — 100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Cytidine and uridine</w:t>
      </w:r>
    </w:p>
    <w:p>
      <w:pPr>
        <w:spacing w:after="120"/>
      </w:pPr>
      <w:r>
        <w:rPr>
          <w:sz w:val="22"/>
        </w:rPr>
        <w:t xml:space="preserve">Nucleosides — natural components of all cells and part of RNA. They restore neuron membranes, support neurotransmitter function and nerve impulse conduction, and promote synaptogenesis and axonal growth.</w:t>
      </w:r>
    </w:p>
    <w:p>
      <w:pPr>
        <w:spacing w:after="20"/>
      </w:pPr>
      <w:r>
        <w:rPr>
          <w:b/>
          <w:sz w:val="22"/>
        </w:rPr>
        <w:t xml:space="preserve">Lecithin</w:t>
      </w:r>
    </w:p>
    <w:p>
      <w:pPr>
        <w:spacing w:after="120"/>
      </w:pPr>
      <w:r>
        <w:rPr>
          <w:sz w:val="22"/>
        </w:rPr>
        <w:t xml:space="preserve">A phospholipid complex — building material for neurons. Involved in myelin formation, a source of choline and acetylcholine, supports memory and attention and improves neuromuscular transmission. A strong antioxidant.</w:t>
      </w:r>
    </w:p>
    <w:p>
      <w:pPr>
        <w:spacing w:after="20"/>
      </w:pPr>
      <w:r>
        <w:rPr>
          <w:b/>
          <w:sz w:val="22"/>
        </w:rPr>
        <w:t xml:space="preserve">Methylfolate</w:t>
      </w:r>
    </w:p>
    <w:p>
      <w:pPr>
        <w:spacing w:after="120"/>
      </w:pPr>
      <w:r>
        <w:rPr>
          <w:sz w:val="22"/>
        </w:rPr>
        <w:t xml:space="preserve">The active form of folic acid, fundamental for CNS function. Lowers homocysteine, protects neurons from oxidative stress, improves memory and nerve fiber recovery.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CNS development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Delayed psychomotor and speech development, poor learning, hyperactivity.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Cognitive function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memory, attention and concentration, rapid mental fatigue.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Neuroses, asthenia, stressful situations, improved adaptation and mood.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Nerve 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Neuropathies, neuralgia, trauma sequelae, facial nerve neuropathy.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Before or after meals, oral use only. Children from 1 year — 1 stick once a day; from 3 years — 1 stick twice a day. Course: 20 days to 1 month. May be repeated on a doctor's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intolerance to the components. 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